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73D1A" w14:textId="77777777" w:rsidR="00077500" w:rsidRDefault="00077500" w:rsidP="004F25E4">
      <w:pPr>
        <w:rPr>
          <w:rStyle w:val="bold1"/>
          <w:rFonts w:ascii="Times New Roman" w:hAnsi="Times New Roman" w:cs="Times New Roman"/>
          <w:b/>
          <w:bCs/>
          <w:color w:val="000000"/>
          <w:sz w:val="28"/>
          <w:szCs w:val="28"/>
          <w:lang w:val="sr-Cyrl-RS"/>
        </w:rPr>
      </w:pPr>
      <w:bookmarkStart w:id="0" w:name="_GoBack"/>
      <w:bookmarkEnd w:id="0"/>
    </w:p>
    <w:p w14:paraId="0E45B40A" w14:textId="77777777" w:rsidR="00077500" w:rsidRDefault="00077500" w:rsidP="00F4263E">
      <w:pPr>
        <w:jc w:val="center"/>
        <w:rPr>
          <w:rStyle w:val="bold1"/>
          <w:rFonts w:ascii="Times New Roman" w:hAnsi="Times New Roman" w:cs="Times New Roman"/>
          <w:b/>
          <w:bCs/>
          <w:color w:val="000000"/>
          <w:sz w:val="28"/>
          <w:szCs w:val="28"/>
          <w:lang w:val="sr-Cyrl-RS"/>
        </w:rPr>
      </w:pPr>
    </w:p>
    <w:p w14:paraId="0349E940" w14:textId="77777777" w:rsidR="00077500" w:rsidRDefault="00077500" w:rsidP="00F4263E">
      <w:pPr>
        <w:jc w:val="center"/>
        <w:rPr>
          <w:rStyle w:val="bold1"/>
          <w:rFonts w:ascii="Times New Roman" w:hAnsi="Times New Roman" w:cs="Times New Roman"/>
          <w:b/>
          <w:bCs/>
          <w:color w:val="000000"/>
          <w:sz w:val="28"/>
          <w:szCs w:val="28"/>
          <w:lang w:val="sr-Cyrl-RS"/>
        </w:rPr>
      </w:pPr>
    </w:p>
    <w:p w14:paraId="3E926103" w14:textId="77777777" w:rsidR="00077500" w:rsidRDefault="00077500" w:rsidP="00F4263E">
      <w:pPr>
        <w:jc w:val="center"/>
        <w:rPr>
          <w:rStyle w:val="bold1"/>
          <w:rFonts w:ascii="Times New Roman" w:hAnsi="Times New Roman" w:cs="Times New Roman"/>
          <w:b/>
          <w:bCs/>
          <w:color w:val="000000"/>
          <w:sz w:val="28"/>
          <w:szCs w:val="28"/>
          <w:lang w:val="sr-Cyrl-RS"/>
        </w:rPr>
      </w:pPr>
    </w:p>
    <w:p w14:paraId="5DC56568" w14:textId="0AB12B9D" w:rsidR="001B5018" w:rsidRPr="00F060FC" w:rsidRDefault="00F4263E" w:rsidP="00F4263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F060FC">
        <w:rPr>
          <w:rStyle w:val="bold1"/>
          <w:rFonts w:ascii="Times New Roman" w:hAnsi="Times New Roman" w:cs="Times New Roman"/>
          <w:b/>
          <w:bCs/>
          <w:color w:val="000000"/>
          <w:sz w:val="28"/>
          <w:szCs w:val="28"/>
          <w:lang w:val="sr-Cyrl-RS"/>
        </w:rPr>
        <w:t xml:space="preserve">ИЗВЕШТАЈ О СПРОВЕДЕНОЈ </w:t>
      </w:r>
      <w:r w:rsidRPr="00F060FC">
        <w:rPr>
          <w:rStyle w:val="bold1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sr-Cyrl-RS"/>
        </w:rPr>
        <w:t>EX-ANTE</w:t>
      </w:r>
      <w:r w:rsidRPr="00F060FC">
        <w:rPr>
          <w:rStyle w:val="bold1"/>
          <w:rFonts w:ascii="Times New Roman" w:hAnsi="Times New Roman" w:cs="Times New Roman"/>
          <w:b/>
          <w:bCs/>
          <w:color w:val="000000"/>
          <w:sz w:val="28"/>
          <w:szCs w:val="28"/>
          <w:lang w:val="sr-Cyrl-RS"/>
        </w:rPr>
        <w:t xml:space="preserve"> АНАЛИЗИ ЕФЕКАТА </w:t>
      </w:r>
      <w:r w:rsidR="009A654F">
        <w:rPr>
          <w:rStyle w:val="bold1"/>
          <w:rFonts w:ascii="Times New Roman" w:hAnsi="Times New Roman" w:cs="Times New Roman"/>
          <w:b/>
          <w:bCs/>
          <w:color w:val="000000"/>
          <w:sz w:val="28"/>
          <w:szCs w:val="28"/>
          <w:lang w:val="sr-Cyrl-RS"/>
        </w:rPr>
        <w:t>ПРЕДЛОГА</w:t>
      </w:r>
      <w:r w:rsidRPr="00F060FC">
        <w:rPr>
          <w:rStyle w:val="bold1"/>
          <w:rFonts w:ascii="Times New Roman" w:hAnsi="Times New Roman" w:cs="Times New Roman"/>
          <w:b/>
          <w:bCs/>
          <w:color w:val="000000"/>
          <w:sz w:val="28"/>
          <w:szCs w:val="28"/>
          <w:lang w:val="sr-Cyrl-RS"/>
        </w:rPr>
        <w:t xml:space="preserve"> ЗАКОНА </w:t>
      </w:r>
      <w:r w:rsidR="00474FB9" w:rsidRPr="00474FB9">
        <w:rPr>
          <w:rStyle w:val="bold1"/>
          <w:rFonts w:ascii="Times New Roman" w:hAnsi="Times New Roman" w:cs="Times New Roman"/>
          <w:b/>
          <w:bCs/>
          <w:color w:val="000000"/>
          <w:sz w:val="28"/>
          <w:szCs w:val="28"/>
          <w:lang w:val="sr-Cyrl-RS"/>
        </w:rPr>
        <w:t>О РАЗМЕНИ ПОДАТАКА, ДОКУМЕНАТА И ОБАВЕШТЕЊА У СЛУЧАЈУ НАСТУПАЊА ПРИВРЕМЕНЕ СПРЕЧЕНОСТИ ЗА РАД ЗАПОСЛЕНОГ КОРИШЋЕЊЕМ СОФТВЕРСКОГ РЕШЕЊА „Е-БОЛОВАЊЕ - ПОСЛОДАВАЦ”</w:t>
      </w:r>
    </w:p>
    <w:p w14:paraId="2FD5679B" w14:textId="28F4842B" w:rsidR="00171716" w:rsidRPr="00F060FC" w:rsidRDefault="0017171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CEF258" w14:textId="77777777" w:rsidR="00077500" w:rsidRDefault="00077500" w:rsidP="003E492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sectPr w:rsidR="00077500" w:rsidSect="009A654F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A2A51AB" w14:textId="35C27352" w:rsidR="00171716" w:rsidRPr="00171716" w:rsidRDefault="00171716" w:rsidP="003E492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17171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lastRenderedPageBreak/>
        <w:t>1. Сагледавање постојећег стања</w:t>
      </w:r>
    </w:p>
    <w:p w14:paraId="101C9605" w14:textId="4F62F05D" w:rsidR="003F03B7" w:rsidRDefault="003F03B7" w:rsidP="003E49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3F03B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1) Приказати постојеће стање у предметној области у складу са важећим правним оквиром.</w:t>
      </w:r>
    </w:p>
    <w:p w14:paraId="21AC1114" w14:textId="77777777" w:rsidR="003E4921" w:rsidRDefault="003E4921" w:rsidP="003E49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4BA2FE01" w14:textId="0E1D2B8E" w:rsidR="00171716" w:rsidRPr="00171716" w:rsidRDefault="00487FD5" w:rsidP="00A33F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74B1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Поступак </w:t>
      </w:r>
      <w:r w:rsidRPr="00C2083D">
        <w:rPr>
          <w:rFonts w:ascii="Times New Roman" w:eastAsia="Times New Roman" w:hAnsi="Times New Roman" w:cs="Times New Roman"/>
          <w:sz w:val="24"/>
          <w:szCs w:val="24"/>
          <w:lang w:val="sr-Cyrl-RS"/>
        </w:rPr>
        <w:t>размен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C208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података, докумената и обавештења у случају наступања привремене спречености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рад </w:t>
      </w:r>
      <w:r w:rsidR="00570C2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запосленог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(боловања) </w:t>
      </w:r>
      <w:r w:rsidR="00171716" w:rsidRPr="00171716">
        <w:rPr>
          <w:rFonts w:ascii="Times New Roman" w:eastAsia="Times New Roman" w:hAnsi="Times New Roman" w:cs="Times New Roman"/>
          <w:sz w:val="24"/>
          <w:szCs w:val="24"/>
          <w:lang w:val="sr-Cyrl-RS"/>
        </w:rPr>
        <w:t>уређен је:</w:t>
      </w:r>
    </w:p>
    <w:p w14:paraId="0A4E1723" w14:textId="56F09A96" w:rsidR="00724725" w:rsidRPr="00A33F49" w:rsidRDefault="00724725" w:rsidP="00CD4D46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</w:t>
      </w:r>
      <w:r w:rsidRPr="00A33F49">
        <w:rPr>
          <w:rFonts w:ascii="Times New Roman" w:eastAsia="Times New Roman" w:hAnsi="Times New Roman" w:cs="Times New Roman"/>
          <w:sz w:val="24"/>
          <w:szCs w:val="24"/>
          <w:lang w:val="sr-Latn-RS"/>
        </w:rPr>
        <w:t>ом</w:t>
      </w:r>
      <w:r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 раду („Службени гласник РС”, бр. 24/05, 61/05, 54/09, 32/13, 75/14, 13/17 - одлука УС, 113/17 и 95</w:t>
      </w:r>
      <w:r w:rsidRPr="00A33F4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/18 </w:t>
      </w:r>
      <w:r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аутентично тумачење), </w:t>
      </w:r>
      <w:r w:rsidR="00D556EC" w:rsidRPr="00D87AF3">
        <w:rPr>
          <w:rFonts w:ascii="Times New Roman" w:hAnsi="Times New Roman" w:cs="Times New Roman"/>
          <w:sz w:val="24"/>
          <w:szCs w:val="24"/>
          <w:lang w:val="sr-Cyrl-RS"/>
        </w:rPr>
        <w:t xml:space="preserve">којим се </w:t>
      </w:r>
      <w:r w:rsidR="00D556EC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103. </w:t>
      </w:r>
      <w:r w:rsidR="00D556EC" w:rsidRPr="00D87AF3">
        <w:rPr>
          <w:rFonts w:ascii="Times New Roman" w:hAnsi="Times New Roman" w:cs="Times New Roman"/>
          <w:sz w:val="24"/>
          <w:szCs w:val="24"/>
          <w:lang w:val="sr-Cyrl-RS"/>
        </w:rPr>
        <w:t>уређује обавештење о привременој спречености за рад у папирном облику, са физичким достављањем потврде о привременој спречености за рад послодавцу од стране запосленог или члана његове уже породице или породичног домаћинства, а</w:t>
      </w:r>
      <w:r w:rsidR="00D556EC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="00D556EC" w:rsidRPr="00D87AF3">
        <w:rPr>
          <w:rFonts w:ascii="Times New Roman" w:hAnsi="Times New Roman" w:cs="Times New Roman"/>
          <w:sz w:val="24"/>
          <w:szCs w:val="24"/>
          <w:lang w:val="sr-Cyrl-RS"/>
        </w:rPr>
        <w:t xml:space="preserve"> повезан</w:t>
      </w:r>
      <w:r w:rsidR="00D556EC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D556EC" w:rsidRPr="00D87AF3">
        <w:rPr>
          <w:rFonts w:ascii="Times New Roman" w:hAnsi="Times New Roman" w:cs="Times New Roman"/>
          <w:sz w:val="24"/>
          <w:szCs w:val="24"/>
          <w:lang w:val="sr-Cyrl-RS"/>
        </w:rPr>
        <w:t xml:space="preserve"> члан</w:t>
      </w:r>
      <w:r w:rsidR="00D556EC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D556EC" w:rsidRPr="00D87AF3">
        <w:rPr>
          <w:rFonts w:ascii="Times New Roman" w:hAnsi="Times New Roman" w:cs="Times New Roman"/>
          <w:sz w:val="24"/>
          <w:szCs w:val="24"/>
          <w:lang w:val="sr-Cyrl-RS"/>
        </w:rPr>
        <w:t xml:space="preserve"> 179. став 3. тачка 2) овог закона уређује </w:t>
      </w:r>
      <w:r w:rsidR="00D556EC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D556EC" w:rsidRPr="00D87AF3">
        <w:rPr>
          <w:rFonts w:ascii="Times New Roman" w:hAnsi="Times New Roman" w:cs="Times New Roman"/>
          <w:sz w:val="24"/>
          <w:szCs w:val="24"/>
          <w:lang w:val="sr-Cyrl-RS"/>
        </w:rPr>
        <w:t>отказни разлог у виду непоштовања радне дисциплине због недостављања потврде о привременој спречености за рад у складу са чланом 103. овог закона</w:t>
      </w:r>
      <w:r w:rsidR="00D556EC">
        <w:rPr>
          <w:rFonts w:ascii="Times New Roman" w:hAnsi="Times New Roman" w:cs="Times New Roman"/>
          <w:sz w:val="24"/>
          <w:szCs w:val="24"/>
          <w:lang w:val="sr-Cyrl-RS"/>
        </w:rPr>
        <w:t xml:space="preserve">м, као </w:t>
      </w:r>
      <w:r w:rsidR="002750E9"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>и пратећим</w:t>
      </w:r>
      <w:r w:rsidR="005578CE"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750E9"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Правилником о начину издавања и садржају потврде о наступању привремене спречености за рад запосленог у смислу прописа о здравственом осигурању („Службени гласник РС</w:t>
      </w:r>
      <w:r w:rsidR="00013AD3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2750E9"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>, број 1/02)</w:t>
      </w:r>
      <w:r w:rsidR="00A16C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и </w:t>
      </w:r>
    </w:p>
    <w:p w14:paraId="70DA58BA" w14:textId="5CE31345" w:rsidR="00724725" w:rsidRPr="00A33F49" w:rsidRDefault="00724725" w:rsidP="00CD4D46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</w:t>
      </w:r>
      <w:r w:rsidRPr="00A33F49">
        <w:rPr>
          <w:rFonts w:ascii="Times New Roman" w:eastAsia="Times New Roman" w:hAnsi="Times New Roman" w:cs="Times New Roman"/>
          <w:sz w:val="24"/>
          <w:szCs w:val="24"/>
          <w:lang w:val="sr-Latn-RS"/>
        </w:rPr>
        <w:t>ом</w:t>
      </w:r>
      <w:r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 здравственом осигурању („Сл</w:t>
      </w:r>
      <w:r w:rsidRPr="00A33F49">
        <w:rPr>
          <w:rFonts w:ascii="Times New Roman" w:eastAsia="Times New Roman" w:hAnsi="Times New Roman" w:cs="Times New Roman"/>
          <w:sz w:val="24"/>
          <w:szCs w:val="24"/>
          <w:lang w:val="sr-Latn-RS"/>
        </w:rPr>
        <w:t>ужбени</w:t>
      </w:r>
      <w:r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гласник РС”, бр. 25/19</w:t>
      </w:r>
      <w:r w:rsidRPr="00A33F4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и 92</w:t>
      </w:r>
      <w:r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>/23), који уређује услове, поступак и финансирање привремене спречености за рад</w:t>
      </w:r>
      <w:r w:rsidR="00D556EC"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као</w:t>
      </w:r>
      <w:r w:rsidR="005578CE"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A33F49"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D556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пратећим </w:t>
      </w:r>
      <w:r w:rsidR="00A33F49"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5578CE"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>равилник</w:t>
      </w:r>
      <w:r w:rsidR="00A33F49"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>ом о условима, начину и поступку за  остваривање права из обавезног здравственог осигурања („Службени гласник РС</w:t>
      </w:r>
      <w:r w:rsidR="00B94038" w:rsidRPr="00B9403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="00A33F49" w:rsidRP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>, бр. 10/10, 18/10 - исправка, 46/10, 52/10 - исправка, 80/10, 60/11 - одлука УС, 1/13, 108/17, 82/19 - др. правилник, 31/21 - др. правилник и 4/24 - др. правилник)</w:t>
      </w:r>
      <w:r w:rsidR="00A16C79"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као и</w:t>
      </w:r>
    </w:p>
    <w:p w14:paraId="7F230881" w14:textId="2A03A52D" w:rsidR="00724725" w:rsidRPr="002750E9" w:rsidRDefault="00724725" w:rsidP="00CD4D46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750E9">
        <w:rPr>
          <w:rFonts w:ascii="Times New Roman" w:eastAsia="Times New Roman" w:hAnsi="Times New Roman" w:cs="Times New Roman"/>
          <w:sz w:val="24"/>
          <w:szCs w:val="24"/>
          <w:lang w:val="sr-Cyrl-RS"/>
        </w:rPr>
        <w:t>колективни</w:t>
      </w:r>
      <w:r w:rsidRPr="002750E9">
        <w:rPr>
          <w:rFonts w:ascii="Times New Roman" w:eastAsia="Times New Roman" w:hAnsi="Times New Roman" w:cs="Times New Roman"/>
          <w:sz w:val="24"/>
          <w:szCs w:val="24"/>
          <w:lang w:val="sr-Latn-RS"/>
        </w:rPr>
        <w:t>м</w:t>
      </w:r>
      <w:r w:rsidRPr="002750E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уговор</w:t>
      </w:r>
      <w:r w:rsidR="00A16C79">
        <w:rPr>
          <w:rFonts w:ascii="Times New Roman" w:eastAsia="Times New Roman" w:hAnsi="Times New Roman" w:cs="Times New Roman"/>
          <w:sz w:val="24"/>
          <w:szCs w:val="24"/>
          <w:lang w:val="sr-Cyrl-RS"/>
        </w:rPr>
        <w:t>има</w:t>
      </w:r>
      <w:r w:rsidRPr="002750E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Pr="002750E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општим </w:t>
      </w:r>
      <w:r w:rsidRPr="002750E9">
        <w:rPr>
          <w:rFonts w:ascii="Times New Roman" w:eastAsia="Times New Roman" w:hAnsi="Times New Roman" w:cs="Times New Roman"/>
          <w:sz w:val="24"/>
          <w:szCs w:val="24"/>
          <w:lang w:val="sr-Cyrl-RS"/>
        </w:rPr>
        <w:t>акти</w:t>
      </w:r>
      <w:r w:rsidRPr="002750E9">
        <w:rPr>
          <w:rFonts w:ascii="Times New Roman" w:eastAsia="Times New Roman" w:hAnsi="Times New Roman" w:cs="Times New Roman"/>
          <w:sz w:val="24"/>
          <w:szCs w:val="24"/>
          <w:lang w:val="sr-Latn-RS"/>
        </w:rPr>
        <w:t>ма</w:t>
      </w:r>
      <w:r w:rsidRPr="002750E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послодаваца</w:t>
      </w:r>
      <w:r w:rsidR="00A33F49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5F2EE470" w14:textId="4415CF6D" w:rsidR="00F14CF6" w:rsidRPr="00171716" w:rsidRDefault="00487FD5" w:rsidP="00BF1C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Овај п</w:t>
      </w:r>
      <w:r w:rsidRPr="00574B1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оступак у пракси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</w:t>
      </w:r>
      <w:r w:rsidRPr="00574B1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спроводи </w:t>
      </w:r>
      <w:r w:rsidR="00724725" w:rsidRPr="00574B1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коришћењем </w:t>
      </w:r>
      <w:r w:rsidR="00171716" w:rsidRPr="00574B14">
        <w:rPr>
          <w:rFonts w:ascii="Times New Roman" w:eastAsia="Times New Roman" w:hAnsi="Times New Roman" w:cs="Times New Roman"/>
          <w:sz w:val="24"/>
          <w:szCs w:val="24"/>
          <w:lang w:val="sr-Cyrl-RS"/>
        </w:rPr>
        <w:t>папир</w:t>
      </w:r>
      <w:r w:rsidR="00724725" w:rsidRPr="00574B14">
        <w:rPr>
          <w:rFonts w:ascii="Times New Roman" w:eastAsia="Times New Roman" w:hAnsi="Times New Roman" w:cs="Times New Roman"/>
          <w:sz w:val="24"/>
          <w:szCs w:val="24"/>
          <w:lang w:val="sr-Cyrl-RS"/>
        </w:rPr>
        <w:t>не документације</w:t>
      </w:r>
      <w:r w:rsid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 почетка до краја </w:t>
      </w:r>
      <w:r w:rsidR="00155DC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</w:t>
      </w:r>
      <w:r w:rsid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>од „отварања</w:t>
      </w:r>
      <w:r w:rsidR="00013AD3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 „закључења</w:t>
      </w:r>
      <w:r w:rsidR="00013AD3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као и у поступку пред првостепеном лекарском комисијом и </w:t>
      </w:r>
      <w:r w:rsidR="002E5301" w:rsidRP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другостепен</w:t>
      </w:r>
      <w:r w:rsid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r w:rsidR="002E5301" w:rsidRP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лекарск</w:t>
      </w:r>
      <w:r w:rsid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r w:rsidR="002E5301" w:rsidRP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комисиј</w:t>
      </w:r>
      <w:r w:rsid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r w:rsidR="002E5301" w:rsidRP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 поднетом приговору, односно захтеву</w:t>
      </w:r>
      <w:r w:rsid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>. Поступак</w:t>
      </w:r>
      <w:r w:rsidR="0072472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155DC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обухвата </w:t>
      </w:r>
      <w:r w:rsidR="00724725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171716" w:rsidRPr="00171716">
        <w:rPr>
          <w:rFonts w:ascii="Times New Roman" w:eastAsia="Times New Roman" w:hAnsi="Times New Roman" w:cs="Times New Roman"/>
          <w:sz w:val="24"/>
          <w:szCs w:val="24"/>
          <w:lang w:val="sr-Cyrl-RS"/>
        </w:rPr>
        <w:t>здавањ</w:t>
      </w:r>
      <w:r w:rsidR="00155DC0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171716" w:rsidRPr="0017171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папирне потврде о привременој спречености за рад</w:t>
      </w:r>
      <w:r w:rsidR="0072472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 стране изабраног лекара, д</w:t>
      </w:r>
      <w:r w:rsidR="00171716" w:rsidRPr="00171716">
        <w:rPr>
          <w:rFonts w:ascii="Times New Roman" w:eastAsia="Times New Roman" w:hAnsi="Times New Roman" w:cs="Times New Roman"/>
          <w:sz w:val="24"/>
          <w:szCs w:val="24"/>
          <w:lang w:val="sr-Cyrl-RS"/>
        </w:rPr>
        <w:t>остављањ</w:t>
      </w:r>
      <w:r w:rsidR="00155DC0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171716" w:rsidRPr="0017171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2472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тог папирног </w:t>
      </w:r>
      <w:r w:rsidR="00171716" w:rsidRPr="00171716">
        <w:rPr>
          <w:rFonts w:ascii="Times New Roman" w:eastAsia="Times New Roman" w:hAnsi="Times New Roman" w:cs="Times New Roman"/>
          <w:sz w:val="24"/>
          <w:szCs w:val="24"/>
          <w:lang w:val="sr-Cyrl-RS"/>
        </w:rPr>
        <w:t>доказа од стране запосленог</w:t>
      </w:r>
      <w:r w:rsidR="00574B1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ч</w:t>
      </w:r>
      <w:r w:rsidR="00574B14" w:rsidRPr="00574B14">
        <w:rPr>
          <w:rFonts w:ascii="Times New Roman" w:eastAsia="Times New Roman" w:hAnsi="Times New Roman" w:cs="Times New Roman"/>
          <w:sz w:val="24"/>
          <w:szCs w:val="24"/>
          <w:lang w:val="sr-Cyrl-RS"/>
        </w:rPr>
        <w:t>лан</w:t>
      </w:r>
      <w:r w:rsidR="00574B14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574B14" w:rsidRPr="00574B1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уже породице или друг</w:t>
      </w:r>
      <w:r w:rsidR="00574B14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r w:rsidR="00574B14" w:rsidRPr="00574B1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лица са којим живи у породичном домаћинству</w:t>
      </w:r>
      <w:r w:rsidR="00171716" w:rsidRPr="0017171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74B1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– </w:t>
      </w:r>
      <w:r w:rsidR="00171716" w:rsidRPr="00171716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послодавцу</w:t>
      </w:r>
      <w:r w:rsidR="00574B14">
        <w:rPr>
          <w:rFonts w:ascii="Times New Roman" w:eastAsia="Times New Roman" w:hAnsi="Times New Roman" w:cs="Times New Roman"/>
          <w:sz w:val="24"/>
          <w:szCs w:val="24"/>
          <w:lang w:val="sr-Cyrl-RS"/>
        </w:rPr>
        <w:t>, и</w:t>
      </w:r>
      <w:r w:rsidR="00171716" w:rsidRPr="00171716">
        <w:rPr>
          <w:rFonts w:ascii="Times New Roman" w:eastAsia="Times New Roman" w:hAnsi="Times New Roman" w:cs="Times New Roman"/>
          <w:sz w:val="24"/>
          <w:szCs w:val="24"/>
          <w:lang w:val="sr-Cyrl-RS"/>
        </w:rPr>
        <w:t>здавањ</w:t>
      </w:r>
      <w:r w:rsidR="00155DC0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171716" w:rsidRPr="0017171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B487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папирног </w:t>
      </w:r>
      <w:r w:rsidR="00171716" w:rsidRPr="0017171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извештаја </w:t>
      </w:r>
      <w:r w:rsidR="00574B1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 привременој спречености за рад </w:t>
      </w:r>
      <w:r w:rsidR="00171716" w:rsidRPr="0017171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(дознаке) </w:t>
      </w:r>
      <w:r w:rsidR="00F4655B" w:rsidRPr="00F4655B">
        <w:rPr>
          <w:rFonts w:ascii="Times New Roman" w:eastAsia="Times New Roman" w:hAnsi="Times New Roman" w:cs="Times New Roman"/>
          <w:sz w:val="24"/>
          <w:szCs w:val="24"/>
          <w:lang w:val="sr-Cyrl-RS"/>
        </w:rPr>
        <w:t>од стране изабраног лекара, и ручну обрад</w:t>
      </w:r>
      <w:r w:rsidR="00D556EC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F4655B" w:rsidRPr="00F4655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података код послодавца и подношење захтева за обрачун накнаде зараде Републичком фонду за здравствено осигурање (РФЗО) у папирном облику</w:t>
      </w:r>
      <w:r w:rsidR="00171716" w:rsidRPr="0017171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574B14">
        <w:rPr>
          <w:rFonts w:ascii="Times New Roman" w:eastAsia="Times New Roman" w:hAnsi="Times New Roman" w:cs="Times New Roman"/>
          <w:sz w:val="24"/>
          <w:szCs w:val="24"/>
          <w:lang w:val="sr-Cyrl-RS"/>
        </w:rPr>
        <w:t>што може бити</w:t>
      </w:r>
      <w:r w:rsidR="00171716" w:rsidRPr="0017171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праћено недоследностима, кашњењима и спорним тумачењима.</w:t>
      </w:r>
      <w:r w:rsid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Изложено се односи и на поступак пред</w:t>
      </w:r>
      <w:r w:rsidR="00155DC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првостепеном лекарском комисијом и</w:t>
      </w:r>
      <w:r w:rsid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E5301" w:rsidRP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другостепен</w:t>
      </w:r>
      <w:r w:rsid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r w:rsidR="002E5301" w:rsidRP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лекарск</w:t>
      </w:r>
      <w:r w:rsid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r w:rsidR="002E5301" w:rsidRP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комисиј</w:t>
      </w:r>
      <w:r w:rsid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r w:rsidR="002E5301" w:rsidRPr="002E530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 поднетом приговору, односно захтеву</w:t>
      </w:r>
      <w:r w:rsidR="00155DC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F1CB6">
        <w:rPr>
          <w:rFonts w:ascii="Times New Roman" w:eastAsia="Times New Roman" w:hAnsi="Times New Roman" w:cs="Times New Roman"/>
          <w:sz w:val="24"/>
          <w:szCs w:val="24"/>
          <w:lang w:val="sr-Cyrl-RS"/>
        </w:rPr>
        <w:t>(п</w:t>
      </w:r>
      <w:r w:rsidR="00BF1CB6" w:rsidRPr="00BF1CB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рема Закону о здравственом осигурању Републике Србије, послодавац може </w:t>
      </w:r>
      <w:r w:rsidR="00E270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 </w:t>
      </w:r>
      <w:r w:rsidR="00BF1CB6" w:rsidRPr="00BF1CB6">
        <w:rPr>
          <w:rFonts w:ascii="Times New Roman" w:eastAsia="Times New Roman" w:hAnsi="Times New Roman" w:cs="Times New Roman"/>
          <w:sz w:val="24"/>
          <w:szCs w:val="24"/>
          <w:lang w:val="sr-Cyrl-RS"/>
        </w:rPr>
        <w:t>подне</w:t>
      </w:r>
      <w:r w:rsidR="00E270F3">
        <w:rPr>
          <w:rFonts w:ascii="Times New Roman" w:eastAsia="Times New Roman" w:hAnsi="Times New Roman" w:cs="Times New Roman"/>
          <w:sz w:val="24"/>
          <w:szCs w:val="24"/>
          <w:lang w:val="sr-Cyrl-RS"/>
        </w:rPr>
        <w:t>се</w:t>
      </w:r>
      <w:r w:rsidR="00BF1CB6" w:rsidRPr="00BF1CB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F1CB6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BF1CB6" w:rsidRPr="00BF1CB6">
        <w:rPr>
          <w:rFonts w:ascii="Times New Roman" w:eastAsia="Times New Roman" w:hAnsi="Times New Roman" w:cs="Times New Roman"/>
          <w:sz w:val="24"/>
          <w:szCs w:val="24"/>
          <w:lang w:val="sr-Cyrl-RS"/>
        </w:rPr>
        <w:t>риговор на оцену изабраног лекара</w:t>
      </w:r>
      <w:r w:rsidR="00BF1CB6">
        <w:rPr>
          <w:rFonts w:ascii="Times New Roman" w:eastAsia="Times New Roman" w:hAnsi="Times New Roman" w:cs="Times New Roman"/>
          <w:sz w:val="24"/>
          <w:szCs w:val="24"/>
          <w:lang w:val="sr-Cyrl-RS"/>
        </w:rPr>
        <w:t>, п</w:t>
      </w:r>
      <w:r w:rsidR="00BF1CB6" w:rsidRPr="00BF1CB6">
        <w:rPr>
          <w:rFonts w:ascii="Times New Roman" w:eastAsia="Times New Roman" w:hAnsi="Times New Roman" w:cs="Times New Roman"/>
          <w:sz w:val="24"/>
          <w:szCs w:val="24"/>
          <w:lang w:val="sr-Cyrl-RS"/>
        </w:rPr>
        <w:t>риговор на оцену првостепене лекарске комисије</w:t>
      </w:r>
      <w:r w:rsidR="00BF1CB6">
        <w:rPr>
          <w:rFonts w:ascii="Times New Roman" w:eastAsia="Times New Roman" w:hAnsi="Times New Roman" w:cs="Times New Roman"/>
          <w:sz w:val="24"/>
          <w:szCs w:val="24"/>
          <w:lang w:val="sr-Cyrl-RS"/>
        </w:rPr>
        <w:t>, з</w:t>
      </w:r>
      <w:r w:rsidR="00BF1CB6" w:rsidRPr="00BF1CB6">
        <w:rPr>
          <w:rFonts w:ascii="Times New Roman" w:eastAsia="Times New Roman" w:hAnsi="Times New Roman" w:cs="Times New Roman"/>
          <w:sz w:val="24"/>
          <w:szCs w:val="24"/>
          <w:lang w:val="sr-Cyrl-RS"/>
        </w:rPr>
        <w:t>ахтев за поновну оцену</w:t>
      </w:r>
      <w:r w:rsidR="00BF1CB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з</w:t>
      </w:r>
      <w:r w:rsidR="00BF1CB6" w:rsidRPr="00BF1CB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ахтев за вештачење </w:t>
      </w:r>
      <w:r w:rsidR="00E270F3">
        <w:rPr>
          <w:rFonts w:ascii="Times New Roman" w:eastAsia="Times New Roman" w:hAnsi="Times New Roman" w:cs="Times New Roman"/>
          <w:sz w:val="24"/>
          <w:szCs w:val="24"/>
          <w:lang w:val="sr-Cyrl-RS"/>
        </w:rPr>
        <w:t>из</w:t>
      </w:r>
      <w:r w:rsidR="00BF1CB6" w:rsidRPr="00BF1CB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здравственог стања </w:t>
      </w:r>
      <w:r w:rsidR="00E270F3">
        <w:rPr>
          <w:rFonts w:ascii="Times New Roman" w:eastAsia="Times New Roman" w:hAnsi="Times New Roman" w:cs="Times New Roman"/>
          <w:sz w:val="24"/>
          <w:szCs w:val="24"/>
          <w:lang w:val="sr-Cyrl-RS"/>
        </w:rPr>
        <w:t>и/</w:t>
      </w:r>
      <w:r w:rsidR="00BF1CB6" w:rsidRPr="00BF1CB6">
        <w:rPr>
          <w:rFonts w:ascii="Times New Roman" w:eastAsia="Times New Roman" w:hAnsi="Times New Roman" w:cs="Times New Roman"/>
          <w:sz w:val="24"/>
          <w:szCs w:val="24"/>
          <w:lang w:val="sr-Cyrl-RS"/>
        </w:rPr>
        <w:t>или здравственог осигурања или оба</w:t>
      </w:r>
      <w:r w:rsidR="00E270F3">
        <w:rPr>
          <w:rFonts w:ascii="Times New Roman" w:eastAsia="Times New Roman" w:hAnsi="Times New Roman" w:cs="Times New Roman"/>
          <w:sz w:val="24"/>
          <w:szCs w:val="24"/>
          <w:lang w:val="sr-Cyrl-RS"/>
        </w:rPr>
        <w:t>, а поред</w:t>
      </w:r>
      <w:r w:rsidR="00E270F3" w:rsidRPr="00E270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приговора и захтева у вези са привременом спречено</w:t>
      </w:r>
      <w:r w:rsidR="00E270F3">
        <w:rPr>
          <w:rFonts w:ascii="Times New Roman" w:eastAsia="Times New Roman" w:hAnsi="Times New Roman" w:cs="Times New Roman"/>
          <w:sz w:val="24"/>
          <w:szCs w:val="24"/>
          <w:lang w:val="sr-Cyrl-RS"/>
        </w:rPr>
        <w:t>шћу</w:t>
      </w:r>
      <w:r w:rsidR="00E270F3" w:rsidRPr="00E270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рад запосленог, послодавац </w:t>
      </w:r>
      <w:r w:rsidR="00E270F3">
        <w:rPr>
          <w:rFonts w:ascii="Times New Roman" w:eastAsia="Times New Roman" w:hAnsi="Times New Roman" w:cs="Times New Roman"/>
          <w:sz w:val="24"/>
          <w:szCs w:val="24"/>
          <w:lang w:val="sr-Cyrl-RS"/>
        </w:rPr>
        <w:t>може</w:t>
      </w:r>
      <w:r w:rsidR="00E270F3" w:rsidRPr="00E270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да поднесе и </w:t>
      </w:r>
      <w:r w:rsidR="00E270F3">
        <w:rPr>
          <w:rFonts w:ascii="Times New Roman" w:eastAsia="Times New Roman" w:hAnsi="Times New Roman" w:cs="Times New Roman"/>
          <w:sz w:val="24"/>
          <w:szCs w:val="24"/>
          <w:lang w:val="sr-Cyrl-RS"/>
        </w:rPr>
        <w:t>з</w:t>
      </w:r>
      <w:r w:rsidR="00E270F3" w:rsidRPr="00E270F3">
        <w:rPr>
          <w:rFonts w:ascii="Times New Roman" w:eastAsia="Times New Roman" w:hAnsi="Times New Roman" w:cs="Times New Roman"/>
          <w:sz w:val="24"/>
          <w:szCs w:val="24"/>
          <w:lang w:val="sr-Cyrl-RS"/>
        </w:rPr>
        <w:t>ахтев за издавање решења за обрачун ради покретања управног поступка</w:t>
      </w:r>
      <w:r w:rsidR="00E270F3">
        <w:rPr>
          <w:rFonts w:ascii="Times New Roman" w:eastAsia="Times New Roman" w:hAnsi="Times New Roman" w:cs="Times New Roman"/>
          <w:sz w:val="24"/>
          <w:szCs w:val="24"/>
          <w:lang w:val="sr-Cyrl-RS"/>
        </w:rPr>
        <w:t>).</w:t>
      </w:r>
    </w:p>
    <w:p w14:paraId="3E0B3916" w14:textId="087B059A" w:rsidR="00F4655B" w:rsidRDefault="00F4655B" w:rsidP="00F0351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4655B">
        <w:rPr>
          <w:rFonts w:ascii="Times New Roman" w:eastAsia="Times New Roman" w:hAnsi="Times New Roman" w:cs="Times New Roman"/>
          <w:sz w:val="24"/>
          <w:szCs w:val="24"/>
          <w:lang w:val="sr-Cyrl-RS"/>
        </w:rPr>
        <w:t>У овом п</w:t>
      </w:r>
      <w:r w:rsidR="00C6266F">
        <w:rPr>
          <w:rFonts w:ascii="Times New Roman" w:eastAsia="Times New Roman" w:hAnsi="Times New Roman" w:cs="Times New Roman"/>
          <w:sz w:val="24"/>
          <w:szCs w:val="24"/>
          <w:lang w:val="sr-Cyrl-RS"/>
        </w:rPr>
        <w:t>оступк</w:t>
      </w:r>
      <w:r w:rsidRPr="00F4655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у, који </w:t>
      </w:r>
      <w:r w:rsidR="00C6266F">
        <w:rPr>
          <w:rFonts w:ascii="Times New Roman" w:eastAsia="Times New Roman" w:hAnsi="Times New Roman" w:cs="Times New Roman"/>
          <w:sz w:val="24"/>
          <w:szCs w:val="24"/>
          <w:lang w:val="sr-Cyrl-RS"/>
        </w:rPr>
        <w:t>се одвија на</w:t>
      </w:r>
      <w:r w:rsidRPr="00F4655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застарео и превазиђен</w:t>
      </w:r>
      <w:r w:rsidR="00C6266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начин</w:t>
      </w:r>
      <w:r w:rsidRPr="00F4655B">
        <w:rPr>
          <w:rFonts w:ascii="Times New Roman" w:eastAsia="Times New Roman" w:hAnsi="Times New Roman" w:cs="Times New Roman"/>
          <w:sz w:val="24"/>
          <w:szCs w:val="24"/>
          <w:lang w:val="sr-Cyrl-RS"/>
        </w:rPr>
        <w:t>, нема централизоване евиденције, аутоматске провере и верификације статуса боловања, а комуникација између изабраног лекара, послодавца и Републичког фонда за здравствено осигурање (РФЗО) је фрагментирана и неаутоматизована.</w:t>
      </w:r>
    </w:p>
    <w:p w14:paraId="670776AE" w14:textId="349ED240" w:rsidR="00D56FA9" w:rsidRDefault="00D56FA9" w:rsidP="00CD66D6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D56FA9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2) Да ли је уочен проблем у области и на коју циљну групу се односи? Представити узроке и последице проблема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1688C95A" w14:textId="4951ED3F" w:rsidR="00171716" w:rsidRPr="00F4655B" w:rsidRDefault="00171716" w:rsidP="00CD66D6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D52FD7"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след оваквог уређења поступка који се односи на привремену спреченост за рад (боловање) и праксе, долази до проблема на страни запослених и послодаваца,  н</w:t>
      </w:r>
      <w:r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еефикасност</w:t>
      </w:r>
      <w:r w:rsidR="00D52FD7"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кашњења у обради података</w:t>
      </w:r>
      <w:r w:rsidR="00CD66D6"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, н</w:t>
      </w:r>
      <w:r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едоследн</w:t>
      </w:r>
      <w:r w:rsidR="00CD66D6"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примена прописа</w:t>
      </w:r>
      <w:r w:rsidR="00CD66D6"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, н</w:t>
      </w:r>
      <w:r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едовољн</w:t>
      </w:r>
      <w:r w:rsidR="00CD66D6"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правн</w:t>
      </w:r>
      <w:r w:rsidR="00CD66D6"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сигурност</w:t>
      </w:r>
      <w:r w:rsidR="00CD66D6"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транспарентност</w:t>
      </w:r>
      <w:r w:rsidR="00CD66D6"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и, као и до п</w:t>
      </w:r>
      <w:r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овећан</w:t>
      </w:r>
      <w:r w:rsidR="00CD66D6"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r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административн</w:t>
      </w:r>
      <w:r w:rsidR="00CD66D6"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r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трошк</w:t>
      </w:r>
      <w:r w:rsidR="00CD66D6"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учеснике</w:t>
      </w:r>
      <w:r w:rsidR="00CD66D6" w:rsidRPr="00CD66D6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F4655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F4655B" w:rsidRPr="00F4655B">
        <w:rPr>
          <w:rFonts w:ascii="Times New Roman" w:eastAsia="Times New Roman" w:hAnsi="Times New Roman" w:cs="Times New Roman"/>
          <w:sz w:val="24"/>
          <w:szCs w:val="24"/>
          <w:lang w:val="sr-Latn-RS"/>
        </w:rPr>
        <w:t>Постојећи начин спровођења поступка подразумева физичко преузимање потврде о боловању и дознаке од изабраног лекара, лично достављање папирне документације послодавцу, поновни долазак у здравствену установу у случају исправке, продужења боловања или допуне, те чување и архивирање папирних докумената.</w:t>
      </w:r>
    </w:p>
    <w:p w14:paraId="5FAD7BE7" w14:textId="03505521" w:rsidR="00CF289D" w:rsidRDefault="00CD66D6" w:rsidP="00CD66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>У том смислу,</w:t>
      </w:r>
      <w:r w:rsidR="009947C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најпре,</w:t>
      </w:r>
      <w:r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један од проблема се јавља због тога што је запослени дужан да сам</w:t>
      </w:r>
      <w:r w:rsidR="00F7699B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F4655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физички </w:t>
      </w:r>
      <w:r w:rsidR="00F7699B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>достави потврду</w:t>
      </w:r>
      <w:r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 привременој спречености за рад док је </w:t>
      </w:r>
      <w:r w:rsidR="00F7699B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>болестан</w:t>
      </w:r>
      <w:r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(због чега је и отворио боловање). Према члану 103. Закона о раду, запослени је дужан да, најкасније у року од три дана од дана наступања привремене спречености за рад у смислу прописа о здравственом осигурању, о томе достави послодавцу потврду лекара која садржи и време очекиване спречености за рад. У случају теже болести, уместо запосленог, потврду послодавцу достављају чланови уже породице или друга лица са којима живи у породичном домаћинству. Ако запослени живи сам, потврду је дужан да достави у року од три дана од дана престанка разлога због којих није могао да достави потврду. Овде може да дође до тешкоћа у придржавању прописаног</w:t>
      </w:r>
      <w:r w:rsidR="00CF289D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рока за доставу </w:t>
      </w:r>
      <w:r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потврде</w:t>
      </w:r>
      <w:r w:rsidR="00CF289D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0B1326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 чему се </w:t>
      </w:r>
      <w:r w:rsidR="00CF289D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отвара и питање </w:t>
      </w:r>
      <w:r w:rsidR="000B1326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потребе и </w:t>
      </w:r>
      <w:r w:rsidR="00CF289D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начина доказивања чињенице да запослени живи сам. </w:t>
      </w:r>
      <w:r w:rsidR="000B1326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>З</w:t>
      </w:r>
      <w:r w:rsidR="00CF289D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>апослени</w:t>
      </w:r>
      <w:r w:rsidR="000B1326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>, најпре,</w:t>
      </w:r>
      <w:r w:rsidR="00CF289D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није дужан да приликом заснивања </w:t>
      </w:r>
      <w:r w:rsidR="000B1326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током </w:t>
      </w:r>
      <w:r w:rsidR="00CF289D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радног односа даје такве информације послодавцу, </w:t>
      </w:r>
      <w:r w:rsidR="000B1326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које представљају податке о личности (а који могу бити и осетљиви), а ако </w:t>
      </w:r>
      <w:r w:rsidR="00CF289D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их послодавац </w:t>
      </w:r>
      <w:r w:rsidR="000B1326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поседује тако што их је добио</w:t>
      </w:r>
      <w:r w:rsidR="00CF289D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непосредно од запосленог или посредно од других лица</w:t>
      </w:r>
      <w:r w:rsidR="000B1326" w:rsidRPr="000B13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0B1326" w:rsidRPr="007605ED">
        <w:rPr>
          <w:rFonts w:ascii="Times New Roman" w:eastAsia="Times New Roman" w:hAnsi="Times New Roman" w:cs="Times New Roman"/>
          <w:sz w:val="24"/>
          <w:szCs w:val="24"/>
          <w:lang w:val="sr-Cyrl-RS"/>
        </w:rPr>
        <w:t>увидом у документе</w:t>
      </w:r>
      <w:r w:rsidR="00CF289D" w:rsidRPr="007605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на други начин, број чланова породичног домаћинства је променљива категорија из различитих разлога (смрт, селидба због посла или школе, развод</w:t>
      </w:r>
      <w:r w:rsidR="00535002">
        <w:rPr>
          <w:rFonts w:ascii="Times New Roman" w:eastAsia="Times New Roman" w:hAnsi="Times New Roman" w:cs="Times New Roman"/>
          <w:sz w:val="24"/>
          <w:szCs w:val="24"/>
          <w:lang w:val="sr-Cyrl-RS"/>
        </w:rPr>
        <w:t>/раздвајање</w:t>
      </w:r>
      <w:r w:rsidR="00CF289D" w:rsidRPr="007605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сл).</w:t>
      </w:r>
    </w:p>
    <w:p w14:paraId="3BDE74C8" w14:textId="33E87122" w:rsidR="00F4655B" w:rsidRPr="007605ED" w:rsidRDefault="00F4655B" w:rsidP="00CD66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4655B">
        <w:rPr>
          <w:rFonts w:ascii="Times New Roman" w:eastAsia="Times New Roman" w:hAnsi="Times New Roman" w:cs="Times New Roman"/>
          <w:sz w:val="24"/>
          <w:szCs w:val="24"/>
          <w:lang w:val="sr-Cyrl-RS"/>
        </w:rPr>
        <w:t>Услед недостатка електронске комуникације учесника у поступку, постоји потреба за физичким доласком запослених у здравствене установе ради прибављања или предаје документације у административне сврхе (прибављање дознаке и др), што негативно утиче на изложеност ризику од заразе, нарочито у условима епидемија или сезонских вируса. Тиме се здравствени систем оптерећује непотребним посетама, а медицински капацитети се оптерећују администрацијом, уместо да се усмере на пацијенте којима је заиста потребна здравствена интервенција. Према подацима РФЗО, више од 30% долазака изабраном лекару у вези је са отварањем, продужењем или затварањем боловања, а не са дијагностиком или терапијом.</w:t>
      </w:r>
    </w:p>
    <w:p w14:paraId="09E003A7" w14:textId="575CD9A6" w:rsidR="00A522BC" w:rsidRPr="00535002" w:rsidRDefault="00F4655B" w:rsidP="00A52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Поред тога, к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од папирне комуникације неминовно се поставља питање 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>уредно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сти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до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>тављањ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потврде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, односно</w:t>
      </w:r>
      <w:r w:rsidR="00902DE0" w:rsidRPr="007605E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да ли потврда мора бити предата на одређени начин 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одређеном лицу?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Одговор зависи од 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тога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да ли је општим акт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>м послодавца прописан начин достављања потврде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, односно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коме 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потврда треба да се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преда.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Судска пракса заузела је став 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став да 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ко запослени 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не 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>достав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потврд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о привременој спречености за рад 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на начин који је утврђен унутрашњим општим актом послодавца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него је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достави 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лицу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нема овлашћењ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да самостално прима потврде и другу документацију за запослене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(нпр. портир, радник службе обезбеђења зграде)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, такво достављање 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>е неуредн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02DE0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Ако </w:t>
      </w:r>
      <w:r w:rsidR="007605ED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општим 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>акт</w:t>
      </w:r>
      <w:r w:rsidR="007605ED" w:rsidRPr="007605ED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>м послодавца није прописан</w:t>
      </w:r>
      <w:r w:rsidR="007605ED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начин достављања потврде,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запослени потврду преда</w:t>
      </w:r>
      <w:r w:rsidR="007605ED" w:rsidRPr="007605ED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F7699B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лицу или служби која је по редовном току ствари задужена за пријем писмена</w:t>
      </w:r>
      <w:r w:rsidR="007605ED" w:rsidRPr="007605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05ED" w:rsidRPr="00A522BC">
        <w:rPr>
          <w:rFonts w:ascii="Times New Roman" w:hAnsi="Times New Roman" w:cs="Times New Roman"/>
          <w:sz w:val="24"/>
          <w:szCs w:val="24"/>
          <w:lang w:val="sr-Cyrl-RS"/>
        </w:rPr>
        <w:t>ил</w:t>
      </w:r>
      <w:r w:rsidR="00F7699B" w:rsidRPr="00A522BC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7605ED" w:rsidRPr="00A522BC">
        <w:rPr>
          <w:rFonts w:ascii="Times New Roman" w:hAnsi="Times New Roman" w:cs="Times New Roman"/>
          <w:sz w:val="24"/>
          <w:szCs w:val="24"/>
          <w:lang w:val="sr-Cyrl-RS"/>
        </w:rPr>
        <w:t xml:space="preserve">препорученим </w:t>
      </w:r>
      <w:r w:rsidR="00F7699B" w:rsidRPr="00A522BC">
        <w:rPr>
          <w:rFonts w:ascii="Times New Roman" w:hAnsi="Times New Roman" w:cs="Times New Roman"/>
          <w:sz w:val="24"/>
          <w:szCs w:val="24"/>
          <w:lang w:val="sr-Cyrl-RS"/>
        </w:rPr>
        <w:t xml:space="preserve">слањем </w:t>
      </w:r>
      <w:r w:rsidR="007605ED" w:rsidRPr="00A522BC">
        <w:rPr>
          <w:rFonts w:ascii="Times New Roman" w:hAnsi="Times New Roman" w:cs="Times New Roman"/>
          <w:sz w:val="24"/>
          <w:szCs w:val="24"/>
          <w:lang w:val="sr-Cyrl-RS"/>
        </w:rPr>
        <w:t xml:space="preserve">путем </w:t>
      </w:r>
      <w:r w:rsidR="00F7699B" w:rsidRPr="00A522BC">
        <w:rPr>
          <w:rFonts w:ascii="Times New Roman" w:hAnsi="Times New Roman" w:cs="Times New Roman"/>
          <w:sz w:val="24"/>
          <w:szCs w:val="24"/>
          <w:lang w:val="sr-Cyrl-RS"/>
        </w:rPr>
        <w:t>пошт</w:t>
      </w:r>
      <w:r w:rsidR="007605ED" w:rsidRPr="00A522B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7699B" w:rsidRPr="00A522B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605ED" w:rsidRPr="00A522B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23182">
        <w:rPr>
          <w:rFonts w:ascii="Times New Roman" w:hAnsi="Times New Roman" w:cs="Times New Roman"/>
          <w:sz w:val="24"/>
          <w:szCs w:val="24"/>
          <w:lang w:val="sr-Cyrl-RS"/>
        </w:rPr>
        <w:t>Постоји ризик од к</w:t>
      </w:r>
      <w:r w:rsidR="00523182" w:rsidRPr="00523182">
        <w:rPr>
          <w:rFonts w:ascii="Times New Roman" w:hAnsi="Times New Roman" w:cs="Times New Roman"/>
          <w:sz w:val="24"/>
          <w:szCs w:val="24"/>
          <w:lang w:val="sr-Cyrl-RS"/>
        </w:rPr>
        <w:t>ашњења у достави докумената</w:t>
      </w:r>
      <w:r w:rsidR="00523182">
        <w:rPr>
          <w:rFonts w:ascii="Times New Roman" w:hAnsi="Times New Roman" w:cs="Times New Roman"/>
          <w:sz w:val="24"/>
          <w:szCs w:val="24"/>
          <w:lang w:val="sr-Cyrl-RS"/>
        </w:rPr>
        <w:t>, а постоје случајеви и да</w:t>
      </w:r>
      <w:r w:rsidR="00523182" w:rsidRPr="00523182">
        <w:rPr>
          <w:rFonts w:ascii="Times New Roman" w:hAnsi="Times New Roman" w:cs="Times New Roman"/>
          <w:sz w:val="24"/>
          <w:szCs w:val="24"/>
          <w:lang w:val="sr-Cyrl-RS"/>
        </w:rPr>
        <w:t xml:space="preserve"> нека документа никада не стигну</w:t>
      </w:r>
      <w:r w:rsidR="0052318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7605ED" w:rsidRPr="00A522BC">
        <w:rPr>
          <w:rFonts w:ascii="Times New Roman" w:hAnsi="Times New Roman" w:cs="Times New Roman"/>
          <w:sz w:val="24"/>
          <w:szCs w:val="24"/>
          <w:lang w:val="sr-Cyrl-RS"/>
        </w:rPr>
        <w:t xml:space="preserve">Пошто се неуредно достављање изједначава са недостављањем, јер  - (формално)правно посматрано </w:t>
      </w:r>
      <w:r w:rsidR="00A522BC" w:rsidRPr="00A522BC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7605ED" w:rsidRPr="00A522B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522BC" w:rsidRPr="00A522BC">
        <w:rPr>
          <w:rFonts w:ascii="Times New Roman" w:hAnsi="Times New Roman" w:cs="Times New Roman"/>
          <w:sz w:val="24"/>
          <w:szCs w:val="24"/>
          <w:lang w:val="sr-Cyrl-RS"/>
        </w:rPr>
        <w:t xml:space="preserve">и у једном и у другом случају </w:t>
      </w:r>
      <w:r w:rsidR="00F7699B" w:rsidRPr="00A522BC">
        <w:rPr>
          <w:rFonts w:ascii="Times New Roman" w:hAnsi="Times New Roman" w:cs="Times New Roman"/>
          <w:sz w:val="24"/>
          <w:szCs w:val="24"/>
          <w:lang w:val="sr-Cyrl-RS"/>
        </w:rPr>
        <w:t xml:space="preserve">послодавац није обавештен о разлозима одсуства запосленог, односно </w:t>
      </w:r>
      <w:r w:rsidR="00A522BC" w:rsidRPr="00A522BC">
        <w:rPr>
          <w:rFonts w:ascii="Times New Roman" w:hAnsi="Times New Roman" w:cs="Times New Roman"/>
          <w:sz w:val="24"/>
          <w:szCs w:val="24"/>
          <w:lang w:val="sr-Cyrl-RS"/>
        </w:rPr>
        <w:t>нема правно ваљаног доказа о обавештавању послодавца о пр</w:t>
      </w:r>
      <w:r w:rsidR="00F7699B" w:rsidRPr="00A522BC">
        <w:rPr>
          <w:rFonts w:ascii="Times New Roman" w:hAnsi="Times New Roman" w:cs="Times New Roman"/>
          <w:sz w:val="24"/>
          <w:szCs w:val="24"/>
          <w:lang w:val="sr-Cyrl-RS"/>
        </w:rPr>
        <w:t xml:space="preserve">ивременој спречености </w:t>
      </w:r>
      <w:r w:rsidR="00A522BC" w:rsidRPr="00A522BC">
        <w:rPr>
          <w:rFonts w:ascii="Times New Roman" w:hAnsi="Times New Roman" w:cs="Times New Roman"/>
          <w:sz w:val="24"/>
          <w:szCs w:val="24"/>
          <w:lang w:val="sr-Cyrl-RS"/>
        </w:rPr>
        <w:t xml:space="preserve">запосленог </w:t>
      </w:r>
      <w:r w:rsidR="00F7699B" w:rsidRPr="00A522BC">
        <w:rPr>
          <w:rFonts w:ascii="Times New Roman" w:hAnsi="Times New Roman" w:cs="Times New Roman"/>
          <w:sz w:val="24"/>
          <w:szCs w:val="24"/>
          <w:lang w:val="sr-Cyrl-RS"/>
        </w:rPr>
        <w:t xml:space="preserve">за рад, </w:t>
      </w:r>
      <w:r w:rsidR="00A522BC" w:rsidRPr="00A522BC">
        <w:rPr>
          <w:rFonts w:ascii="Times New Roman" w:hAnsi="Times New Roman" w:cs="Times New Roman"/>
          <w:sz w:val="24"/>
          <w:szCs w:val="24"/>
          <w:lang w:val="sr-Cyrl-RS"/>
        </w:rPr>
        <w:t>чиме се стичу услови да послодавац</w:t>
      </w:r>
      <w:r w:rsidR="00F7699B" w:rsidRPr="00A522BC">
        <w:rPr>
          <w:rFonts w:ascii="Times New Roman" w:hAnsi="Times New Roman" w:cs="Times New Roman"/>
          <w:sz w:val="24"/>
          <w:szCs w:val="24"/>
          <w:lang w:val="sr-Cyrl-RS"/>
        </w:rPr>
        <w:t xml:space="preserve"> запосленом откаже уговор о раду због непоштовања радне дисциплине </w:t>
      </w:r>
      <w:r w:rsidR="00A522BC" w:rsidRPr="00A522BC">
        <w:rPr>
          <w:rFonts w:ascii="Times New Roman" w:hAnsi="Times New Roman" w:cs="Times New Roman"/>
          <w:sz w:val="24"/>
          <w:szCs w:val="24"/>
          <w:lang w:val="sr-Cyrl-RS"/>
        </w:rPr>
        <w:t>из члана</w:t>
      </w:r>
      <w:r w:rsidR="00F7699B" w:rsidRPr="00A522BC">
        <w:rPr>
          <w:rFonts w:ascii="Times New Roman" w:hAnsi="Times New Roman" w:cs="Times New Roman"/>
          <w:sz w:val="24"/>
          <w:szCs w:val="24"/>
          <w:lang w:val="sr-Cyrl-RS"/>
        </w:rPr>
        <w:t xml:space="preserve"> 179. став 3 тач</w:t>
      </w:r>
      <w:r w:rsidR="00A522BC" w:rsidRPr="00A522BC">
        <w:rPr>
          <w:rFonts w:ascii="Times New Roman" w:hAnsi="Times New Roman" w:cs="Times New Roman"/>
          <w:sz w:val="24"/>
          <w:szCs w:val="24"/>
          <w:lang w:val="sr-Cyrl-RS"/>
        </w:rPr>
        <w:t>ка</w:t>
      </w:r>
      <w:r w:rsidR="00F7699B" w:rsidRPr="00A522BC">
        <w:rPr>
          <w:rFonts w:ascii="Times New Roman" w:hAnsi="Times New Roman" w:cs="Times New Roman"/>
          <w:sz w:val="24"/>
          <w:szCs w:val="24"/>
          <w:lang w:val="sr-Cyrl-RS"/>
        </w:rPr>
        <w:t xml:space="preserve"> 2) З</w:t>
      </w:r>
      <w:r w:rsidR="00A522BC" w:rsidRPr="00A522BC">
        <w:rPr>
          <w:rFonts w:ascii="Times New Roman" w:hAnsi="Times New Roman" w:cs="Times New Roman"/>
          <w:sz w:val="24"/>
          <w:szCs w:val="24"/>
          <w:lang w:val="sr-Cyrl-RS"/>
        </w:rPr>
        <w:t xml:space="preserve">акона о раду (овом одредбом прописано је да послодавац може да откаже уговор о раду запосленом који не </w:t>
      </w:r>
      <w:r w:rsidR="00A522BC" w:rsidRPr="00535002">
        <w:rPr>
          <w:rFonts w:ascii="Times New Roman" w:hAnsi="Times New Roman" w:cs="Times New Roman"/>
          <w:sz w:val="24"/>
          <w:szCs w:val="24"/>
          <w:lang w:val="sr-Cyrl-RS"/>
        </w:rPr>
        <w:t>поштује радну дисциплину, и то ако не достави потврду о привременој спречености за рад у смислу члана 103. овог закона).</w:t>
      </w:r>
    </w:p>
    <w:p w14:paraId="7017DA26" w14:textId="77777777" w:rsidR="00A522BC" w:rsidRPr="00535002" w:rsidRDefault="00A522BC" w:rsidP="00C61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B65D27" w14:textId="7040CE94" w:rsidR="00F4655B" w:rsidRDefault="00F4655B" w:rsidP="00F46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4655B">
        <w:rPr>
          <w:rFonts w:ascii="Times New Roman" w:hAnsi="Times New Roman" w:cs="Times New Roman"/>
          <w:sz w:val="24"/>
          <w:szCs w:val="24"/>
          <w:lang w:val="sr-Cyrl-RS"/>
        </w:rPr>
        <w:t xml:space="preserve">Због постојећег папирног начина размене података, докумената и обавештења, запослени, послодавци, лекари и РФЗО троше значајне ресурсе на руковање папирном документацијом. Тиме се стварају непостребно административни трошкови у виду стварних трошкова и губитка времена запослених задужених за прикупљање, обраду и архивирање докумената. </w:t>
      </w:r>
    </w:p>
    <w:p w14:paraId="0141E82C" w14:textId="77777777" w:rsidR="00F4655B" w:rsidRPr="00F4655B" w:rsidRDefault="00F4655B" w:rsidP="00F46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208ECA" w14:textId="4C13F84C" w:rsidR="00F4655B" w:rsidRDefault="00F4655B" w:rsidP="00F46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4655B">
        <w:rPr>
          <w:rFonts w:ascii="Times New Roman" w:hAnsi="Times New Roman" w:cs="Times New Roman"/>
          <w:sz w:val="24"/>
          <w:szCs w:val="24"/>
          <w:lang w:val="sr-Cyrl-RS"/>
        </w:rPr>
        <w:t>Према подацима РФЗО, у систему обавезног здравственог осигурања има око 2,2 до 2,3 милиона осигураника који су у радном односу. Број пријава за привремену спреченост за рад у Републици Србији износи између 110.000 и 150.000 појединачних случајева годишње, према подацима РФЗО и Института за јавно здравље „Батут</w:t>
      </w:r>
      <w:r w:rsidR="00013AD3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F4655B">
        <w:rPr>
          <w:rFonts w:ascii="Times New Roman" w:hAnsi="Times New Roman" w:cs="Times New Roman"/>
          <w:sz w:val="24"/>
          <w:szCs w:val="24"/>
          <w:lang w:val="sr-Cyrl-RS"/>
        </w:rPr>
        <w:t>, односно 5,9% запослених, према подацима EUROSTAT-a. Према истим изворима, просечно трајање боловања је од 11 до 13 дана по појединачном случају. Тиме се добија укупно од 1,4 до 1,7 милиона дана боловања годишње.</w:t>
      </w:r>
    </w:p>
    <w:p w14:paraId="0D944D29" w14:textId="77777777" w:rsidR="00F4655B" w:rsidRPr="00F4655B" w:rsidRDefault="00F4655B" w:rsidP="00F46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3D38E9" w14:textId="1D12AB42" w:rsidR="00F4655B" w:rsidRPr="00817056" w:rsidRDefault="00F4655B" w:rsidP="00F46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4655B">
        <w:rPr>
          <w:rFonts w:ascii="Times New Roman" w:hAnsi="Times New Roman" w:cs="Times New Roman"/>
          <w:sz w:val="24"/>
          <w:szCs w:val="24"/>
          <w:lang w:val="sr-Cyrl-RS"/>
        </w:rPr>
        <w:t>Ови подаци показују да послодавци обрађују више од 1,5 милиона дана боловања годишње, а сваки појединачни случај носи административне трошкове (радно време запослених у сектору људских ресурса, трошкови транспорта и доставе документације, папир, штампа, скенирање, унос, евидентирање, интерна комуникација и провера статуса, архивирање), и то у просеку од 500 до 1.200 динара по једном случају, а у зависности од величине и дигиталне зрелости привредног субјекта. Послодавци, тиме, на укупном нивоу имају административни годишњи трошак на ову процедуру у висини од 750.000.000 до 1.800.000.000 динара.</w:t>
      </w:r>
    </w:p>
    <w:p w14:paraId="56617008" w14:textId="7313C236" w:rsidR="00535002" w:rsidRPr="00817056" w:rsidRDefault="00535002" w:rsidP="009669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B4FD0C" w14:textId="271429DE" w:rsidR="00523182" w:rsidRDefault="00817056" w:rsidP="00535002">
      <w:pPr>
        <w:pStyle w:val="NormalWeb"/>
        <w:spacing w:before="0" w:beforeAutospacing="0" w:after="0" w:afterAutospacing="0"/>
        <w:jc w:val="both"/>
        <w:rPr>
          <w:lang w:val="sr-Cyrl-RS"/>
        </w:rPr>
      </w:pPr>
      <w:r w:rsidRPr="00817056">
        <w:rPr>
          <w:lang w:val="sr-Cyrl-RS"/>
        </w:rPr>
        <w:t>Један од системских и оперативних проблема који негативно утичу на правовременост, законитост и ефикасност поступка је неефикасност и кашњењ</w:t>
      </w:r>
      <w:r w:rsidR="00F4655B">
        <w:rPr>
          <w:lang w:val="sr-Cyrl-RS"/>
        </w:rPr>
        <w:t>е</w:t>
      </w:r>
      <w:r w:rsidRPr="00817056">
        <w:rPr>
          <w:lang w:val="sr-Cyrl-RS"/>
        </w:rPr>
        <w:t xml:space="preserve"> у обради података, </w:t>
      </w:r>
      <w:r w:rsidR="00F4655B">
        <w:rPr>
          <w:lang w:val="sr-Cyrl-RS"/>
        </w:rPr>
        <w:t>што</w:t>
      </w:r>
      <w:r w:rsidRPr="00817056">
        <w:rPr>
          <w:lang w:val="sr-Cyrl-RS"/>
        </w:rPr>
        <w:t xml:space="preserve"> се јавља услед ручног поступања, недовољне аутоматизације и потребе за допуном или корекцијом документације. </w:t>
      </w:r>
      <w:r w:rsidR="00523182" w:rsidRPr="00523182">
        <w:rPr>
          <w:lang w:val="sr-Cyrl-RS"/>
        </w:rPr>
        <w:t>Неки од пропуста који се јављају у постојећем, папирном систему односе се на ручни унос података (нпр. матични број, назив послодавца, дијагноза) од стране различитих лица, који може бити различит и нетачан; неслагања у датумима (нпр. лекар је издао потврду са једним датумом, а послодавац други унесе у пријаву за накнаду; погрешно тумачење података од стране администрације.</w:t>
      </w:r>
    </w:p>
    <w:p w14:paraId="2752ADA8" w14:textId="77777777" w:rsidR="00523182" w:rsidRDefault="00523182" w:rsidP="00535002">
      <w:pPr>
        <w:pStyle w:val="NormalWeb"/>
        <w:spacing w:before="0" w:beforeAutospacing="0" w:after="0" w:afterAutospacing="0"/>
        <w:jc w:val="both"/>
        <w:rPr>
          <w:lang w:val="sr-Cyrl-RS"/>
        </w:rPr>
      </w:pPr>
    </w:p>
    <w:p w14:paraId="710809D7" w14:textId="0F985BA0" w:rsidR="00817056" w:rsidRDefault="00817056" w:rsidP="00535002">
      <w:pPr>
        <w:pStyle w:val="NormalWeb"/>
        <w:spacing w:before="0" w:beforeAutospacing="0" w:after="0" w:afterAutospacing="0"/>
        <w:jc w:val="both"/>
        <w:rPr>
          <w:lang w:val="sr-Cyrl-RS"/>
        </w:rPr>
      </w:pPr>
      <w:r w:rsidRPr="00817056">
        <w:rPr>
          <w:lang w:val="sr-Cyrl-RS"/>
        </w:rPr>
        <w:t>Такође, приметна је недоследна примена прописа, будући да здравствене установе и послодавци примењују различите интерне процедуре, што доводи до правне несигурности за запослене. Додатно, систем карактерише недовољна транспарентност и правна сигурност у погледу тога ко, када и како обрађује податке, као и нејасна подела одговорности за чување, приступ и доставу докумената међу изабраним лекарима, послодавцима и РФЗО. Укупно посматрано, све ово производи пораст административних трошкова за све укључене актере - и у јавном и у приватном сектору.</w:t>
      </w:r>
    </w:p>
    <w:p w14:paraId="62FFD254" w14:textId="0B34CC1E" w:rsidR="00F4655B" w:rsidRDefault="00F4655B" w:rsidP="00535002">
      <w:pPr>
        <w:pStyle w:val="NormalWeb"/>
        <w:spacing w:before="0" w:beforeAutospacing="0" w:after="0" w:afterAutospacing="0"/>
        <w:jc w:val="both"/>
        <w:rPr>
          <w:lang w:val="sr-Cyrl-RS"/>
        </w:rPr>
      </w:pPr>
    </w:p>
    <w:p w14:paraId="77E51568" w14:textId="77777777" w:rsidR="00F4655B" w:rsidRPr="006D7069" w:rsidRDefault="00F4655B" w:rsidP="00F4655B">
      <w:pPr>
        <w:pStyle w:val="NormalWeb"/>
        <w:spacing w:before="0" w:beforeAutospacing="0" w:after="0" w:afterAutospacing="0"/>
        <w:jc w:val="center"/>
        <w:rPr>
          <w:b/>
          <w:bCs/>
          <w:lang w:val="sr-Cyrl-RS"/>
        </w:rPr>
      </w:pPr>
      <w:r w:rsidRPr="006D7069">
        <w:rPr>
          <w:b/>
          <w:bCs/>
          <w:lang w:val="sr-Cyrl-RS"/>
        </w:rPr>
        <w:t>Табела 1: Проблеми и узроци проблема у области процедура које се односе на привремену спреченост за рад</w:t>
      </w:r>
    </w:p>
    <w:p w14:paraId="2A73376F" w14:textId="77777777" w:rsidR="00F4655B" w:rsidRDefault="00F4655B" w:rsidP="00F4655B">
      <w:pPr>
        <w:pStyle w:val="NormalWeb"/>
        <w:spacing w:before="0" w:beforeAutospacing="0" w:after="0" w:afterAutospacing="0"/>
        <w:jc w:val="both"/>
        <w:rPr>
          <w:lang w:val="sr-Cyrl-RS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230"/>
        <w:gridCol w:w="3861"/>
        <w:gridCol w:w="3543"/>
      </w:tblGrid>
      <w:tr w:rsidR="00F4655B" w:rsidRPr="002C7B5B" w14:paraId="4C14F2D9" w14:textId="77777777" w:rsidTr="009F3EFB">
        <w:tc>
          <w:tcPr>
            <w:tcW w:w="0" w:type="auto"/>
            <w:hideMark/>
          </w:tcPr>
          <w:p w14:paraId="21227285" w14:textId="77777777" w:rsidR="00F4655B" w:rsidRPr="002C7B5B" w:rsidRDefault="00F4655B" w:rsidP="009F3E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Проблеми</w:t>
            </w:r>
          </w:p>
        </w:tc>
        <w:tc>
          <w:tcPr>
            <w:tcW w:w="3861" w:type="dxa"/>
            <w:hideMark/>
          </w:tcPr>
          <w:p w14:paraId="41901FF3" w14:textId="77777777" w:rsidR="00F4655B" w:rsidRPr="002C7B5B" w:rsidRDefault="00F4655B" w:rsidP="009F3E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Опис проблема</w:t>
            </w:r>
          </w:p>
        </w:tc>
        <w:tc>
          <w:tcPr>
            <w:tcW w:w="3543" w:type="dxa"/>
            <w:hideMark/>
          </w:tcPr>
          <w:p w14:paraId="512679A1" w14:textId="77777777" w:rsidR="00F4655B" w:rsidRPr="002C7B5B" w:rsidRDefault="00F4655B" w:rsidP="009F3E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Узроци</w:t>
            </w:r>
          </w:p>
        </w:tc>
      </w:tr>
      <w:tr w:rsidR="00F4655B" w:rsidRPr="002C7B5B" w14:paraId="55BE08B1" w14:textId="77777777" w:rsidTr="009F3EFB">
        <w:tc>
          <w:tcPr>
            <w:tcW w:w="0" w:type="auto"/>
            <w:hideMark/>
          </w:tcPr>
          <w:p w14:paraId="5AB5551C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Правни</w:t>
            </w:r>
          </w:p>
        </w:tc>
        <w:tc>
          <w:tcPr>
            <w:tcW w:w="3861" w:type="dxa"/>
            <w:hideMark/>
          </w:tcPr>
          <w:p w14:paraId="798EEAAF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уређеност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електронск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размен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података, 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докумената и обавешт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ења</w:t>
            </w:r>
          </w:p>
        </w:tc>
        <w:tc>
          <w:tcPr>
            <w:tcW w:w="3543" w:type="dxa"/>
            <w:hideMark/>
          </w:tcPr>
          <w:p w14:paraId="7ACE41C4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Недостај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 закон и други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пропис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којим се уређује ова област</w:t>
            </w:r>
          </w:p>
        </w:tc>
      </w:tr>
      <w:tr w:rsidR="00F4655B" w:rsidRPr="002C7B5B" w14:paraId="54594010" w14:textId="77777777" w:rsidTr="009F3EFB">
        <w:tc>
          <w:tcPr>
            <w:tcW w:w="0" w:type="auto"/>
            <w:hideMark/>
          </w:tcPr>
          <w:p w14:paraId="76605E51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Технички</w:t>
            </w:r>
          </w:p>
        </w:tc>
        <w:tc>
          <w:tcPr>
            <w:tcW w:w="3861" w:type="dxa"/>
            <w:hideMark/>
          </w:tcPr>
          <w:p w14:paraId="6A0F3878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Непостојање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централизованог софтвер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ског решењ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и интероперабилности система</w:t>
            </w:r>
          </w:p>
        </w:tc>
        <w:tc>
          <w:tcPr>
            <w:tcW w:w="3543" w:type="dxa"/>
            <w:hideMark/>
          </w:tcPr>
          <w:p w14:paraId="64F634EC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Недостатак закона, праћен р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азличит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ниво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ом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дигиталне зрелости здравствених установа и послодаваца</w:t>
            </w:r>
          </w:p>
        </w:tc>
      </w:tr>
      <w:tr w:rsidR="00F4655B" w:rsidRPr="002C7B5B" w14:paraId="7705AB68" w14:textId="77777777" w:rsidTr="009F3EFB">
        <w:tc>
          <w:tcPr>
            <w:tcW w:w="0" w:type="auto"/>
            <w:hideMark/>
          </w:tcPr>
          <w:p w14:paraId="7EFB8917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Административни</w:t>
            </w:r>
          </w:p>
        </w:tc>
        <w:tc>
          <w:tcPr>
            <w:tcW w:w="3861" w:type="dxa"/>
            <w:hideMark/>
          </w:tcPr>
          <w:p w14:paraId="12C72B0C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Папирна документација и застарела комуникација, р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учно уношење података,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могућност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грешака, непотребно архивирање</w:t>
            </w:r>
          </w:p>
        </w:tc>
        <w:tc>
          <w:tcPr>
            <w:tcW w:w="3543" w:type="dxa"/>
            <w:hideMark/>
          </w:tcPr>
          <w:p w14:paraId="7DCB3037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Папирни процеси и више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учесник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са одвојеним евиденцијама</w:t>
            </w:r>
          </w:p>
        </w:tc>
      </w:tr>
      <w:tr w:rsidR="00F4655B" w:rsidRPr="002C7B5B" w14:paraId="5A0C55DC" w14:textId="77777777" w:rsidTr="009F3EFB">
        <w:tc>
          <w:tcPr>
            <w:tcW w:w="0" w:type="auto"/>
            <w:hideMark/>
          </w:tcPr>
          <w:p w14:paraId="2F8DB7AF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Финансијски</w:t>
            </w:r>
          </w:p>
        </w:tc>
        <w:tc>
          <w:tcPr>
            <w:tcW w:w="3861" w:type="dxa"/>
            <w:hideMark/>
          </w:tcPr>
          <w:p w14:paraId="6ACC74A3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Трошак послодаваца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(од 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мил. до 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млрд.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дин. годишње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 РФЗО и здравствени систем непотребно оптерећени</w:t>
            </w:r>
          </w:p>
        </w:tc>
        <w:tc>
          <w:tcPr>
            <w:tcW w:w="3543" w:type="dxa"/>
            <w:hideMark/>
          </w:tcPr>
          <w:p w14:paraId="40A376AB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бав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љање, транспорт и чување документације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папирном облику</w:t>
            </w:r>
          </w:p>
        </w:tc>
      </w:tr>
      <w:tr w:rsidR="00F4655B" w:rsidRPr="002C7B5B" w14:paraId="6BF48A33" w14:textId="77777777" w:rsidTr="009F3EFB">
        <w:tc>
          <w:tcPr>
            <w:tcW w:w="0" w:type="auto"/>
            <w:hideMark/>
          </w:tcPr>
          <w:p w14:paraId="2646CDA9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Друштве</w:t>
            </w:r>
            <w:r w:rsidRPr="002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ни</w:t>
            </w:r>
          </w:p>
        </w:tc>
        <w:tc>
          <w:tcPr>
            <w:tcW w:w="3861" w:type="dxa"/>
            <w:hideMark/>
          </w:tcPr>
          <w:p w14:paraId="054CA616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Запослени изложени непотребн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ом административном оптерећењу и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ризицима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(непотребни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доласци код лекара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физичка предаја потврде, могућност грешака и др.)</w:t>
            </w:r>
          </w:p>
        </w:tc>
        <w:tc>
          <w:tcPr>
            <w:tcW w:w="3543" w:type="dxa"/>
            <w:hideMark/>
          </w:tcPr>
          <w:p w14:paraId="688C5DBA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Одсуство електронске комуникације и јасних процедура</w:t>
            </w:r>
          </w:p>
        </w:tc>
      </w:tr>
      <w:tr w:rsidR="00F4655B" w:rsidRPr="002C7B5B" w14:paraId="0AEF5795" w14:textId="77777777" w:rsidTr="009F3EFB">
        <w:tc>
          <w:tcPr>
            <w:tcW w:w="0" w:type="auto"/>
            <w:hideMark/>
          </w:tcPr>
          <w:p w14:paraId="1F66BA5E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Институционални</w:t>
            </w:r>
          </w:p>
        </w:tc>
        <w:tc>
          <w:tcPr>
            <w:tcW w:w="3861" w:type="dxa"/>
            <w:hideMark/>
          </w:tcPr>
          <w:p w14:paraId="43087B18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Недостатак координације РФЗО, здравствених установа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</w:t>
            </w: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послодаваца</w:t>
            </w:r>
          </w:p>
        </w:tc>
        <w:tc>
          <w:tcPr>
            <w:tcW w:w="3543" w:type="dxa"/>
            <w:hideMark/>
          </w:tcPr>
          <w:p w14:paraId="3767247B" w14:textId="77777777" w:rsidR="00F4655B" w:rsidRPr="002C7B5B" w:rsidRDefault="00F4655B" w:rsidP="009F3E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C7B5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Фрагментација надлежности и неодређена одговорност</w:t>
            </w:r>
          </w:p>
        </w:tc>
      </w:tr>
    </w:tbl>
    <w:p w14:paraId="6E85EBF2" w14:textId="77777777" w:rsidR="00817056" w:rsidRPr="00817056" w:rsidRDefault="00817056" w:rsidP="00535002">
      <w:pPr>
        <w:pStyle w:val="NormalWeb"/>
        <w:spacing w:before="0" w:beforeAutospacing="0" w:after="0" w:afterAutospacing="0"/>
        <w:jc w:val="both"/>
        <w:rPr>
          <w:lang w:val="sr-Cyrl-RS"/>
        </w:rPr>
      </w:pPr>
    </w:p>
    <w:p w14:paraId="505CAB9B" w14:textId="5CC9AB3F" w:rsidR="00817056" w:rsidRPr="00AF7345" w:rsidRDefault="00535002" w:rsidP="00535002">
      <w:pPr>
        <w:pStyle w:val="NormalWeb"/>
        <w:spacing w:before="0" w:beforeAutospacing="0" w:after="0" w:afterAutospacing="0"/>
        <w:jc w:val="both"/>
        <w:rPr>
          <w:lang w:val="sr-Cyrl-RS"/>
        </w:rPr>
      </w:pPr>
      <w:r w:rsidRPr="00AF7345">
        <w:rPr>
          <w:lang w:val="sr-Cyrl-RS"/>
        </w:rPr>
        <w:t>Ови проблеми посебно погађају неколико циљних група</w:t>
      </w:r>
      <w:r w:rsidR="00817056" w:rsidRPr="00AF7345">
        <w:rPr>
          <w:lang w:val="sr-Cyrl-RS"/>
        </w:rPr>
        <w:t xml:space="preserve"> – запослене, послодавце, изабране лекаре и здравствене установе, као и РФЗО</w:t>
      </w:r>
      <w:r w:rsidRPr="00AF7345">
        <w:rPr>
          <w:lang w:val="sr-Cyrl-RS"/>
        </w:rPr>
        <w:t>.</w:t>
      </w:r>
    </w:p>
    <w:p w14:paraId="3D71E1EF" w14:textId="77777777" w:rsidR="00817056" w:rsidRPr="00AF7345" w:rsidRDefault="00817056" w:rsidP="00535002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lang w:val="sr-Cyrl-RS"/>
        </w:rPr>
      </w:pPr>
    </w:p>
    <w:p w14:paraId="35E61376" w14:textId="2219010B" w:rsidR="00535002" w:rsidRPr="000132D3" w:rsidRDefault="00535002" w:rsidP="00535002">
      <w:pPr>
        <w:pStyle w:val="NormalWeb"/>
        <w:spacing w:before="0" w:beforeAutospacing="0" w:after="0" w:afterAutospacing="0"/>
        <w:jc w:val="both"/>
        <w:rPr>
          <w:lang w:val="sr-Cyrl-RS"/>
        </w:rPr>
      </w:pPr>
      <w:r w:rsidRPr="00AF7345">
        <w:rPr>
          <w:rStyle w:val="Strong"/>
          <w:b w:val="0"/>
          <w:bCs w:val="0"/>
          <w:lang w:val="sr-Cyrl-RS"/>
        </w:rPr>
        <w:t>Запослени</w:t>
      </w:r>
      <w:r w:rsidRPr="00AF7345">
        <w:rPr>
          <w:lang w:val="sr-Cyrl-RS"/>
        </w:rPr>
        <w:t xml:space="preserve"> </w:t>
      </w:r>
      <w:r w:rsidR="00817056" w:rsidRPr="00AF7345">
        <w:rPr>
          <w:lang w:val="sr-Cyrl-RS"/>
        </w:rPr>
        <w:t xml:space="preserve">су принуђени да сами обезбеђују и достављају документацију, решавају спорне ситуације у којима постоји неусаглашеност података, а </w:t>
      </w:r>
      <w:r w:rsidRPr="00AF7345">
        <w:rPr>
          <w:lang w:val="sr-Cyrl-RS"/>
        </w:rPr>
        <w:t xml:space="preserve">често трпе </w:t>
      </w:r>
      <w:r w:rsidR="00817056" w:rsidRPr="00AF7345">
        <w:rPr>
          <w:lang w:val="sr-Cyrl-RS"/>
        </w:rPr>
        <w:t xml:space="preserve">и </w:t>
      </w:r>
      <w:r w:rsidRPr="00AF7345">
        <w:rPr>
          <w:lang w:val="sr-Cyrl-RS"/>
        </w:rPr>
        <w:t xml:space="preserve">директне последице у виду кашњења у исплати накнаде. </w:t>
      </w:r>
      <w:r w:rsidRPr="00AF7345">
        <w:rPr>
          <w:rStyle w:val="Strong"/>
          <w:b w:val="0"/>
          <w:bCs w:val="0"/>
          <w:lang w:val="sr-Cyrl-RS"/>
        </w:rPr>
        <w:t>Послодавци</w:t>
      </w:r>
      <w:r w:rsidRPr="00AF7345">
        <w:rPr>
          <w:lang w:val="sr-Cyrl-RS"/>
        </w:rPr>
        <w:t xml:space="preserve">, </w:t>
      </w:r>
      <w:r w:rsidR="00817056" w:rsidRPr="00AF7345">
        <w:rPr>
          <w:lang w:val="sr-Cyrl-RS"/>
        </w:rPr>
        <w:t>пак</w:t>
      </w:r>
      <w:r w:rsidRPr="00AF7345">
        <w:rPr>
          <w:lang w:val="sr-Cyrl-RS"/>
        </w:rPr>
        <w:t xml:space="preserve">, поступају у условима нормативне и оперативне неизвесности, без јасних смерница о периоду и висини накнаде, што повећава ризик од неправилности и грешака у обрачуну. </w:t>
      </w:r>
      <w:r w:rsidRPr="00AF7345">
        <w:rPr>
          <w:rStyle w:val="Strong"/>
          <w:b w:val="0"/>
          <w:bCs w:val="0"/>
          <w:lang w:val="sr-Cyrl-RS"/>
        </w:rPr>
        <w:t>Здравствене установе и изабрани лекари</w:t>
      </w:r>
      <w:r w:rsidRPr="00AF7345">
        <w:rPr>
          <w:lang w:val="sr-Cyrl-RS"/>
        </w:rPr>
        <w:t xml:space="preserve"> су </w:t>
      </w:r>
      <w:r w:rsidRPr="000132D3">
        <w:rPr>
          <w:lang w:val="sr-Cyrl-RS"/>
        </w:rPr>
        <w:t xml:space="preserve">оптерећени административним пословима који нису у директној функцији лечења, </w:t>
      </w:r>
      <w:r w:rsidR="00E743D6">
        <w:rPr>
          <w:lang w:val="sr-Cyrl-RS"/>
        </w:rPr>
        <w:t xml:space="preserve">укључујући и </w:t>
      </w:r>
      <w:r w:rsidR="00E743D6" w:rsidRPr="00171716">
        <w:rPr>
          <w:lang w:val="sr-Cyrl-RS"/>
        </w:rPr>
        <w:t>административни терет издавања и архивирања докумената</w:t>
      </w:r>
      <w:r w:rsidR="00E743D6">
        <w:rPr>
          <w:lang w:val="sr-Cyrl-RS"/>
        </w:rPr>
        <w:t xml:space="preserve">, </w:t>
      </w:r>
      <w:r w:rsidRPr="000132D3">
        <w:rPr>
          <w:lang w:val="sr-Cyrl-RS"/>
        </w:rPr>
        <w:t xml:space="preserve">а истовремено не постоји јединствен систем који би омогућио сигурну и лаку размену докумената. </w:t>
      </w:r>
      <w:r w:rsidRPr="000132D3">
        <w:rPr>
          <w:rStyle w:val="Strong"/>
          <w:b w:val="0"/>
          <w:bCs w:val="0"/>
          <w:lang w:val="sr-Cyrl-RS"/>
        </w:rPr>
        <w:t>РФЗО</w:t>
      </w:r>
      <w:r w:rsidRPr="000132D3">
        <w:rPr>
          <w:lang w:val="sr-Cyrl-RS"/>
        </w:rPr>
        <w:t xml:space="preserve">, као финансијски носилац система, нема адекватне </w:t>
      </w:r>
      <w:r w:rsidR="00DC55EB">
        <w:rPr>
          <w:lang w:val="sr-Cyrl-RS"/>
        </w:rPr>
        <w:t xml:space="preserve">дигиталне </w:t>
      </w:r>
      <w:r w:rsidRPr="000132D3">
        <w:rPr>
          <w:lang w:val="sr-Cyrl-RS"/>
        </w:rPr>
        <w:t xml:space="preserve">алате за системску контролу и верификацију </w:t>
      </w:r>
      <w:r w:rsidR="00E743D6" w:rsidRPr="00171716">
        <w:rPr>
          <w:lang w:val="sr-Cyrl-RS"/>
        </w:rPr>
        <w:t>законитости и тачности извештаја</w:t>
      </w:r>
      <w:r w:rsidRPr="000132D3">
        <w:rPr>
          <w:lang w:val="sr-Cyrl-RS"/>
        </w:rPr>
        <w:t xml:space="preserve">, што </w:t>
      </w:r>
      <w:r w:rsidR="00AF7345" w:rsidRPr="000132D3">
        <w:rPr>
          <w:lang w:val="sr-Cyrl-RS"/>
        </w:rPr>
        <w:t>негативно делуј</w:t>
      </w:r>
      <w:r w:rsidR="00E743D6">
        <w:rPr>
          <w:lang w:val="sr-Cyrl-RS"/>
        </w:rPr>
        <w:t>е</w:t>
      </w:r>
      <w:r w:rsidR="00AF7345" w:rsidRPr="000132D3">
        <w:rPr>
          <w:lang w:val="sr-Cyrl-RS"/>
        </w:rPr>
        <w:t xml:space="preserve"> н</w:t>
      </w:r>
      <w:r w:rsidRPr="000132D3">
        <w:rPr>
          <w:lang w:val="sr-Cyrl-RS"/>
        </w:rPr>
        <w:t>а правовремену исплату средстава.</w:t>
      </w:r>
    </w:p>
    <w:p w14:paraId="280DC0E7" w14:textId="77777777" w:rsidR="00AF7345" w:rsidRPr="000132D3" w:rsidRDefault="00AF7345" w:rsidP="00535002">
      <w:pPr>
        <w:pStyle w:val="NormalWeb"/>
        <w:spacing w:before="0" w:beforeAutospacing="0" w:after="0" w:afterAutospacing="0"/>
        <w:jc w:val="both"/>
        <w:rPr>
          <w:lang w:val="sr-Cyrl-RS"/>
        </w:rPr>
      </w:pPr>
    </w:p>
    <w:p w14:paraId="18D3CA99" w14:textId="55BB212C" w:rsidR="000132D3" w:rsidRPr="000132D3" w:rsidRDefault="000132D3" w:rsidP="00535002">
      <w:pPr>
        <w:pStyle w:val="NormalWeb"/>
        <w:spacing w:before="0" w:beforeAutospacing="0" w:after="0" w:afterAutospacing="0"/>
        <w:jc w:val="both"/>
        <w:rPr>
          <w:lang w:val="sr-Cyrl-RS"/>
        </w:rPr>
      </w:pPr>
      <w:r w:rsidRPr="000132D3">
        <w:rPr>
          <w:lang w:val="sr-Cyrl-RS"/>
        </w:rPr>
        <w:t xml:space="preserve">Основни узрок ових проблема је непостојање централизованог </w:t>
      </w:r>
      <w:r w:rsidR="008E5291">
        <w:rPr>
          <w:lang w:val="sr-Cyrl-RS"/>
        </w:rPr>
        <w:t>софтверског решења</w:t>
      </w:r>
      <w:r w:rsidRPr="000132D3">
        <w:rPr>
          <w:lang w:val="sr-Cyrl-RS"/>
        </w:rPr>
        <w:t xml:space="preserve"> за обраду, размену и евиденцију докумената о боловању, који би обезбедио једнообразност и правовременост поступања и електронско слање </w:t>
      </w:r>
      <w:r w:rsidR="00F4655B" w:rsidRPr="00F4655B">
        <w:rPr>
          <w:lang w:val="sr-Cyrl-RS"/>
        </w:rPr>
        <w:t xml:space="preserve">података, докумената и </w:t>
      </w:r>
      <w:r w:rsidRPr="000132D3">
        <w:rPr>
          <w:lang w:val="sr-Cyrl-RS"/>
        </w:rPr>
        <w:t>обавештења послодавцу од стране изабраног лекара запосленог. Следствено, постоји недовољна институционална координација између здравственог и привредног сектора, при чему сваки од актера поступа у оквиру сопствене, често ограничене надлежности. Недостатак информационе повезаности и системске размене података прате и правне (регулаторне) празнине, јер важећи прописи не уређују електронски облик комуникације и размене података, нити предвиђају прецизне стандарде за примену у пракси. На техничком нивоу, уочава се неусклађеност и различит степен дигиталне зрелости здравствених установа и послодаваца, као и одсуство обавезујућих протокола за размену и верификацију докумената.</w:t>
      </w:r>
    </w:p>
    <w:p w14:paraId="6B3C8D06" w14:textId="77777777" w:rsidR="000132D3" w:rsidRDefault="000132D3" w:rsidP="00535002">
      <w:pPr>
        <w:pStyle w:val="NormalWeb"/>
        <w:spacing w:before="0" w:beforeAutospacing="0" w:after="0" w:afterAutospacing="0"/>
        <w:jc w:val="both"/>
      </w:pPr>
    </w:p>
    <w:p w14:paraId="580E939E" w14:textId="07796A69" w:rsidR="00535002" w:rsidRPr="00535002" w:rsidRDefault="00E743D6" w:rsidP="009669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3D6">
        <w:rPr>
          <w:rFonts w:ascii="Times New Roman" w:hAnsi="Times New Roman" w:cs="Times New Roman"/>
          <w:sz w:val="24"/>
          <w:szCs w:val="24"/>
          <w:lang w:val="sr-Cyrl-RS"/>
        </w:rPr>
        <w:t xml:space="preserve">Последице оваквог стања су вишеструке и битно утичу на функционисање система. У јавном и приватном сектору, услед разуђености система и непотребне дупликације процедура, долази до пораста административних трошкова и смањења ефикасности. Негативне последице односе се и на кашњења у исплати накнада и повећану изложеност манипулацијама, грешкама и злоупотребама, што може имати финансијске и правне последице по све актере. Дугорочно, 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E743D6">
        <w:rPr>
          <w:rFonts w:ascii="Times New Roman" w:hAnsi="Times New Roman" w:cs="Times New Roman"/>
          <w:sz w:val="24"/>
          <w:szCs w:val="24"/>
          <w:lang w:val="sr-Cyrl-RS"/>
        </w:rPr>
        <w:t xml:space="preserve">едовољна аналитичка основа за планирање здравствене и социјалне политике </w:t>
      </w:r>
      <w:r w:rsidR="00C450AA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E743D6">
        <w:rPr>
          <w:rFonts w:ascii="Times New Roman" w:hAnsi="Times New Roman" w:cs="Times New Roman"/>
          <w:sz w:val="24"/>
          <w:szCs w:val="24"/>
          <w:lang w:val="sr-Cyrl-RS"/>
        </w:rPr>
        <w:t>овакво стање онемогућава</w:t>
      </w:r>
      <w:r w:rsidR="00C450AA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E743D6">
        <w:rPr>
          <w:rFonts w:ascii="Times New Roman" w:hAnsi="Times New Roman" w:cs="Times New Roman"/>
          <w:sz w:val="24"/>
          <w:szCs w:val="24"/>
          <w:lang w:val="sr-Cyrl-RS"/>
        </w:rPr>
        <w:t xml:space="preserve"> развој системских мера заснованих на подацима, као што су планирање здравствених капацитета, процена болести од значаја за радну способност и моделирање социјалне политике. Напослетку, на овај начин смањује се поверење између запослених, послодаваца и државе.</w:t>
      </w:r>
    </w:p>
    <w:p w14:paraId="0382C2CD" w14:textId="77777777" w:rsidR="00D56FA9" w:rsidRDefault="00D56FA9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D56FA9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3) Да ли постоје неки други разлози за промену (интервенцију) у области у случају да није уочен проблем?</w:t>
      </w:r>
    </w:p>
    <w:p w14:paraId="17F3AD00" w14:textId="19C707CB" w:rsidR="00F13619" w:rsidRPr="000B513D" w:rsidRDefault="00C65AA2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случају да није уочен проблем у </w:t>
      </w:r>
      <w:r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поглед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у правн</w:t>
      </w:r>
      <w:r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системск</w:t>
      </w:r>
      <w:r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неправилности</w:t>
      </w:r>
      <w:r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неусклађености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, постоје јасни разлози за нормативну интервенцију засновани на унапређењу ефикасности и дигитализацији јавне управе</w:t>
      </w:r>
      <w:r w:rsidR="00F13619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BD3107F" w14:textId="653663FA" w:rsidR="00F4263E" w:rsidRPr="000B513D" w:rsidRDefault="00F13619" w:rsidP="000B51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Ово се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нарочито </w:t>
      </w:r>
      <w:r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односи на ширење 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дигитализације и еУправе</w:t>
      </w:r>
      <w:r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области здравства и других кључних области/сектора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као </w:t>
      </w:r>
      <w:r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једног од 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водећ</w:t>
      </w:r>
      <w:r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приоритета </w:t>
      </w:r>
      <w:r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јавних политика, као и на успостављ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ање интероперабилности између здравственог и пословног сектора у поступцима који </w:t>
      </w:r>
      <w:r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се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финансијск</w:t>
      </w:r>
      <w:r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радно-правн</w:t>
      </w:r>
      <w:r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прожимају, те на р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азвој електронских </w:t>
      </w:r>
      <w:r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услуга (сервиса)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послодавце као обвезнике примене прописа, уз смањење административног оптерећења и папирне документације</w:t>
      </w:r>
      <w:r w:rsidR="000B513D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. Од великог значаја је и усклађивање са праксом ЕУ и препорукама дигиталне агенде у контексту реформе јавне управе и здравственог система. Битно место заузима и и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зградња поверења између </w:t>
      </w:r>
      <w:r w:rsidR="000B513D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учесник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</w:t>
      </w:r>
      <w:r w:rsidR="000B513D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систем</w:t>
      </w:r>
      <w:r w:rsidR="000B513D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путем транспарентности, аутоматизациј</w:t>
      </w:r>
      <w:r w:rsidR="000B513D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у процеса</w:t>
      </w:r>
      <w:r w:rsidR="00F4263E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верификованих података</w:t>
      </w:r>
      <w:r w:rsidR="000B513D" w:rsidRPr="000B513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2B2CAE15" w14:textId="77777777" w:rsidR="00F4263E" w:rsidRPr="00F4263E" w:rsidRDefault="00F4263E" w:rsidP="00F0351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F4263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2. Утврђивање циља</w:t>
      </w:r>
    </w:p>
    <w:p w14:paraId="6C1F1C37" w14:textId="2B5507CC" w:rsidR="00F4263E" w:rsidRPr="00F4263E" w:rsidRDefault="007173F0" w:rsidP="00F0351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1) </w:t>
      </w:r>
      <w:r w:rsidR="00F4263E" w:rsidRPr="00F4263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Који циљ је потребно постићи?</w:t>
      </w:r>
    </w:p>
    <w:p w14:paraId="26A47F73" w14:textId="77777777" w:rsidR="00E442E8" w:rsidRDefault="00E442E8" w:rsidP="00E442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Општи циљ доношења овог закона је </w:t>
      </w:r>
      <w:r w:rsidRP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>успостављањ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правовременог, поузданог и обавезујућег система електронске размене података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докумената и обавештења</w:t>
      </w:r>
      <w:r w:rsidRP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 привременој спречености за рад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Pr="009F7076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овај начин омогућава се јединствен, централизован и правно сигуран поступак који укључује запослене, послодавце, изабране лекаре, здравствене установе и РФЗО.</w:t>
      </w:r>
    </w:p>
    <w:p w14:paraId="0FBA359F" w14:textId="77777777" w:rsidR="00E442E8" w:rsidRPr="00F55703" w:rsidRDefault="00E442E8" w:rsidP="00E442E8">
      <w:pPr>
        <w:pStyle w:val="NormalWeb"/>
        <w:spacing w:before="0" w:beforeAutospacing="0" w:after="0" w:afterAutospacing="0"/>
        <w:jc w:val="both"/>
        <w:rPr>
          <w:lang w:val="sr-Cyrl-RS"/>
        </w:rPr>
      </w:pPr>
      <w:r w:rsidRPr="00F55703">
        <w:rPr>
          <w:lang w:val="sr-Cyrl-RS"/>
        </w:rPr>
        <w:t>Остварење општег циља планирано је кроз следеће оперативне циљеве:</w:t>
      </w:r>
    </w:p>
    <w:p w14:paraId="75A7DC3E" w14:textId="3E7DE531" w:rsidR="00E442E8" w:rsidRPr="00F55703" w:rsidRDefault="00E442E8" w:rsidP="00CD4D46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lang w:val="sr-Cyrl-RS"/>
        </w:rPr>
      </w:pPr>
      <w:r w:rsidRPr="00F55703">
        <w:rPr>
          <w:rStyle w:val="Strong"/>
          <w:b w:val="0"/>
          <w:bCs w:val="0"/>
          <w:lang w:val="sr-Cyrl-RS"/>
        </w:rPr>
        <w:t>Обавезна примена софтверског решења „Е-боловање – Послодавац</w:t>
      </w:r>
      <w:r w:rsidR="0071542B" w:rsidRPr="0071542B">
        <w:rPr>
          <w:rStyle w:val="Strong"/>
          <w:b w:val="0"/>
          <w:bCs w:val="0"/>
          <w:lang w:val="sr-Cyrl-CS"/>
        </w:rPr>
        <w:t>”</w:t>
      </w:r>
      <w:r>
        <w:rPr>
          <w:lang w:val="sr-Cyrl-RS"/>
        </w:rPr>
        <w:t xml:space="preserve"> - у</w:t>
      </w:r>
      <w:r w:rsidRPr="00F55703">
        <w:rPr>
          <w:lang w:val="sr-Cyrl-RS"/>
        </w:rPr>
        <w:t xml:space="preserve">вођење обавезе за све изабране лекаре, здравствене установе и послодавце да користе јединствено </w:t>
      </w:r>
      <w:r>
        <w:rPr>
          <w:lang w:val="sr-Cyrl-RS"/>
        </w:rPr>
        <w:t>софтверско</w:t>
      </w:r>
      <w:r w:rsidRPr="00F55703">
        <w:rPr>
          <w:lang w:val="sr-Cyrl-RS"/>
        </w:rPr>
        <w:t xml:space="preserve"> решење за креирање, верификацију и доставу докумената о привременој спречености за рад</w:t>
      </w:r>
      <w:r>
        <w:rPr>
          <w:lang w:val="sr-Cyrl-RS"/>
        </w:rPr>
        <w:t>;</w:t>
      </w:r>
    </w:p>
    <w:p w14:paraId="43B91B4D" w14:textId="77777777" w:rsidR="00E442E8" w:rsidRPr="00F55703" w:rsidRDefault="00E442E8" w:rsidP="00CD4D46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lang w:val="sr-Cyrl-RS"/>
        </w:rPr>
      </w:pPr>
      <w:r w:rsidRPr="00F55703">
        <w:rPr>
          <w:rStyle w:val="Strong"/>
          <w:b w:val="0"/>
          <w:bCs w:val="0"/>
          <w:lang w:val="sr-Cyrl-RS"/>
        </w:rPr>
        <w:t>Стандардизација и електронска контрола/валидација докумената</w:t>
      </w:r>
      <w:r>
        <w:rPr>
          <w:lang w:val="sr-Cyrl-RS"/>
        </w:rPr>
        <w:t xml:space="preserve"> - у</w:t>
      </w:r>
      <w:r w:rsidRPr="00F55703">
        <w:rPr>
          <w:lang w:val="sr-Cyrl-RS"/>
        </w:rPr>
        <w:t xml:space="preserve">спостављање јединствених стандарда за електронску размену и верификацију </w:t>
      </w:r>
      <w:r>
        <w:rPr>
          <w:lang w:val="sr-Cyrl-RS"/>
        </w:rPr>
        <w:t xml:space="preserve">података, </w:t>
      </w:r>
      <w:r w:rsidRPr="00F55703">
        <w:rPr>
          <w:lang w:val="sr-Cyrl-RS"/>
        </w:rPr>
        <w:t xml:space="preserve">докумената </w:t>
      </w:r>
      <w:r>
        <w:rPr>
          <w:lang w:val="sr-Cyrl-RS"/>
        </w:rPr>
        <w:t xml:space="preserve">и обавештења </w:t>
      </w:r>
      <w:r w:rsidRPr="00F55703">
        <w:rPr>
          <w:lang w:val="sr-Cyrl-RS"/>
        </w:rPr>
        <w:t>кој</w:t>
      </w:r>
      <w:r>
        <w:rPr>
          <w:lang w:val="sr-Cyrl-RS"/>
        </w:rPr>
        <w:t>а</w:t>
      </w:r>
      <w:r w:rsidRPr="00F55703">
        <w:rPr>
          <w:lang w:val="sr-Cyrl-RS"/>
        </w:rPr>
        <w:t xml:space="preserve"> се односе на </w:t>
      </w:r>
      <w:r>
        <w:rPr>
          <w:lang w:val="sr-Cyrl-RS"/>
        </w:rPr>
        <w:t>привремену спреченост за рад</w:t>
      </w:r>
      <w:r w:rsidRPr="00F55703">
        <w:rPr>
          <w:lang w:val="sr-Cyrl-RS"/>
        </w:rPr>
        <w:t xml:space="preserve"> </w:t>
      </w:r>
      <w:r>
        <w:rPr>
          <w:lang w:val="sr-Cyrl-RS"/>
        </w:rPr>
        <w:t>-</w:t>
      </w:r>
      <w:r w:rsidRPr="00F55703">
        <w:rPr>
          <w:lang w:val="sr-Cyrl-RS"/>
        </w:rPr>
        <w:t xml:space="preserve"> укључујући потврду </w:t>
      </w:r>
      <w:r>
        <w:rPr>
          <w:lang w:val="sr-Cyrl-RS"/>
        </w:rPr>
        <w:t xml:space="preserve">и извештај (дознаку) </w:t>
      </w:r>
      <w:r w:rsidRPr="00F55703">
        <w:rPr>
          <w:lang w:val="sr-Cyrl-RS"/>
        </w:rPr>
        <w:t xml:space="preserve">о привременој спречености за рад, </w:t>
      </w:r>
      <w:r>
        <w:rPr>
          <w:lang w:val="sr-Cyrl-RS"/>
        </w:rPr>
        <w:t xml:space="preserve">као </w:t>
      </w:r>
      <w:r w:rsidRPr="00F55703">
        <w:rPr>
          <w:lang w:val="sr-Cyrl-RS"/>
        </w:rPr>
        <w:t xml:space="preserve">и </w:t>
      </w:r>
      <w:r>
        <w:rPr>
          <w:lang w:val="sr-Cyrl-RS"/>
        </w:rPr>
        <w:t>друг</w:t>
      </w:r>
      <w:r w:rsidRPr="00F55703">
        <w:rPr>
          <w:lang w:val="sr-Cyrl-RS"/>
        </w:rPr>
        <w:t>у документацију</w:t>
      </w:r>
      <w:r>
        <w:rPr>
          <w:lang w:val="sr-Cyrl-RS"/>
        </w:rPr>
        <w:t>;</w:t>
      </w:r>
    </w:p>
    <w:p w14:paraId="2F593EA7" w14:textId="7D1214F0" w:rsidR="00E442E8" w:rsidRPr="00F55703" w:rsidRDefault="00E442E8" w:rsidP="00CD4D46">
      <w:pPr>
        <w:pStyle w:val="NormalWeb"/>
        <w:numPr>
          <w:ilvl w:val="0"/>
          <w:numId w:val="13"/>
        </w:numPr>
        <w:jc w:val="both"/>
        <w:rPr>
          <w:lang w:val="sr-Cyrl-RS"/>
        </w:rPr>
      </w:pPr>
      <w:r w:rsidRPr="00F55703">
        <w:rPr>
          <w:rStyle w:val="Strong"/>
          <w:b w:val="0"/>
          <w:bCs w:val="0"/>
          <w:lang w:val="sr-Cyrl-RS"/>
        </w:rPr>
        <w:t>Поједностављивање процедура за све учеснике</w:t>
      </w:r>
      <w:r>
        <w:rPr>
          <w:lang w:val="sr-Cyrl-RS"/>
        </w:rPr>
        <w:t xml:space="preserve"> - с</w:t>
      </w:r>
      <w:r w:rsidRPr="00F55703">
        <w:rPr>
          <w:lang w:val="sr-Cyrl-RS"/>
        </w:rPr>
        <w:t>мањење административног оптерећења и уклањање непотребни</w:t>
      </w:r>
      <w:r>
        <w:rPr>
          <w:lang w:val="sr-Cyrl-RS"/>
        </w:rPr>
        <w:t>х</w:t>
      </w:r>
      <w:r w:rsidRPr="00F55703">
        <w:rPr>
          <w:lang w:val="sr-Cyrl-RS"/>
        </w:rPr>
        <w:t xml:space="preserve"> процедура</w:t>
      </w:r>
      <w:r>
        <w:rPr>
          <w:lang w:val="sr-Cyrl-RS"/>
        </w:rPr>
        <w:t>/радњи у папиру,</w:t>
      </w:r>
      <w:r w:rsidRPr="00F55703">
        <w:rPr>
          <w:lang w:val="sr-Cyrl-RS"/>
        </w:rPr>
        <w:t xml:space="preserve"> ради ефикаснијег управљања процесом, повећања правне сигурности</w:t>
      </w:r>
      <w:r w:rsidR="00516100">
        <w:rPr>
          <w:lang w:val="sr-Cyrl-RS"/>
        </w:rPr>
        <w:t>,</w:t>
      </w:r>
      <w:r w:rsidRPr="00F55703">
        <w:rPr>
          <w:lang w:val="sr-Cyrl-RS"/>
        </w:rPr>
        <w:t xml:space="preserve"> боље заштите права запослених</w:t>
      </w:r>
      <w:r w:rsidR="00516100">
        <w:rPr>
          <w:lang w:val="sr-Cyrl-RS"/>
        </w:rPr>
        <w:t xml:space="preserve"> и ефикасније здравствене заштите</w:t>
      </w:r>
      <w:r>
        <w:rPr>
          <w:lang w:val="sr-Cyrl-RS"/>
        </w:rPr>
        <w:t>;</w:t>
      </w:r>
    </w:p>
    <w:p w14:paraId="0DC552CE" w14:textId="77777777" w:rsidR="00E442E8" w:rsidRPr="00F55703" w:rsidRDefault="00E442E8" w:rsidP="00CD4D46">
      <w:pPr>
        <w:pStyle w:val="NormalWeb"/>
        <w:numPr>
          <w:ilvl w:val="0"/>
          <w:numId w:val="13"/>
        </w:numPr>
        <w:jc w:val="both"/>
        <w:rPr>
          <w:lang w:val="sr-Cyrl-RS"/>
        </w:rPr>
      </w:pPr>
      <w:r w:rsidRPr="00F55703">
        <w:rPr>
          <w:rStyle w:val="Strong"/>
          <w:b w:val="0"/>
          <w:bCs w:val="0"/>
          <w:lang w:val="sr-Cyrl-RS"/>
        </w:rPr>
        <w:t>Унапређење правне сигурности и транспарентности</w:t>
      </w:r>
      <w:r>
        <w:rPr>
          <w:lang w:val="sr-Cyrl-RS"/>
        </w:rPr>
        <w:t xml:space="preserve"> - ј</w:t>
      </w:r>
      <w:r w:rsidRPr="00F55703">
        <w:rPr>
          <w:lang w:val="sr-Cyrl-RS"/>
        </w:rPr>
        <w:t xml:space="preserve">асно дефинисање </w:t>
      </w:r>
      <w:r>
        <w:rPr>
          <w:lang w:val="sr-Cyrl-RS"/>
        </w:rPr>
        <w:t xml:space="preserve">улога </w:t>
      </w:r>
      <w:r w:rsidRPr="00F55703">
        <w:rPr>
          <w:lang w:val="sr-Cyrl-RS"/>
        </w:rPr>
        <w:t xml:space="preserve">и одговорности </w:t>
      </w:r>
      <w:r>
        <w:rPr>
          <w:lang w:val="sr-Cyrl-RS"/>
        </w:rPr>
        <w:t>учесник</w:t>
      </w:r>
      <w:r w:rsidRPr="00F55703">
        <w:rPr>
          <w:lang w:val="sr-Cyrl-RS"/>
        </w:rPr>
        <w:t xml:space="preserve">а у </w:t>
      </w:r>
      <w:r>
        <w:rPr>
          <w:lang w:val="sr-Cyrl-RS"/>
        </w:rPr>
        <w:t>процес</w:t>
      </w:r>
      <w:r w:rsidRPr="00F55703">
        <w:rPr>
          <w:lang w:val="sr-Cyrl-RS"/>
        </w:rPr>
        <w:t>у, праћење статуса докумената у реалном времену и омогућавање приступа релевантним подацима на транспарентан начин</w:t>
      </w:r>
      <w:r>
        <w:rPr>
          <w:lang w:val="sr-Cyrl-RS"/>
        </w:rPr>
        <w:t>;</w:t>
      </w:r>
    </w:p>
    <w:p w14:paraId="66065CE9" w14:textId="69C1875F" w:rsidR="00E442E8" w:rsidRPr="00F55703" w:rsidRDefault="00E442E8" w:rsidP="00CD4D46">
      <w:pPr>
        <w:pStyle w:val="NormalWeb"/>
        <w:numPr>
          <w:ilvl w:val="0"/>
          <w:numId w:val="13"/>
        </w:numPr>
        <w:jc w:val="both"/>
        <w:rPr>
          <w:lang w:val="sr-Cyrl-RS"/>
        </w:rPr>
      </w:pPr>
      <w:r w:rsidRPr="00F55703">
        <w:rPr>
          <w:rStyle w:val="Strong"/>
          <w:b w:val="0"/>
          <w:bCs w:val="0"/>
          <w:lang w:val="sr-Cyrl-RS"/>
        </w:rPr>
        <w:t>Интероперабилност и повезивање информационих система</w:t>
      </w:r>
      <w:r>
        <w:rPr>
          <w:rStyle w:val="Strong"/>
          <w:b w:val="0"/>
          <w:bCs w:val="0"/>
          <w:lang w:val="sr-Cyrl-RS"/>
        </w:rPr>
        <w:t>/софтверских решења - о</w:t>
      </w:r>
      <w:r w:rsidRPr="00F55703">
        <w:rPr>
          <w:lang w:val="sr-Cyrl-RS"/>
        </w:rPr>
        <w:t>могућавање интеграције система „Е-боловање – Послодавац</w:t>
      </w:r>
      <w:r w:rsidR="00CA33CC" w:rsidRPr="00CA33CC">
        <w:rPr>
          <w:bCs/>
          <w:lang w:val="sr-Cyrl-CS"/>
        </w:rPr>
        <w:t>”</w:t>
      </w:r>
      <w:r w:rsidRPr="00F55703">
        <w:rPr>
          <w:lang w:val="sr-Cyrl-RS"/>
        </w:rPr>
        <w:t xml:space="preserve"> са постојећим информационим системима РФЗО, послодаваца и других </w:t>
      </w:r>
      <w:r>
        <w:rPr>
          <w:lang w:val="sr-Cyrl-RS"/>
        </w:rPr>
        <w:t>органа</w:t>
      </w:r>
      <w:r w:rsidRPr="00F55703">
        <w:rPr>
          <w:lang w:val="sr-Cyrl-RS"/>
        </w:rPr>
        <w:t xml:space="preserve">, у складу са </w:t>
      </w:r>
      <w:r>
        <w:rPr>
          <w:lang w:val="sr-Cyrl-RS"/>
        </w:rPr>
        <w:t xml:space="preserve">прописима и </w:t>
      </w:r>
      <w:r w:rsidRPr="00F55703">
        <w:rPr>
          <w:lang w:val="sr-Cyrl-RS"/>
        </w:rPr>
        <w:t>стандардима електронске управе и заштите података.</w:t>
      </w:r>
    </w:p>
    <w:p w14:paraId="27DCFE0A" w14:textId="62AB483C" w:rsidR="007173F0" w:rsidRDefault="007173F0" w:rsidP="006B0D91">
      <w:pPr>
        <w:pStyle w:val="NormalWeb"/>
        <w:spacing w:before="0" w:beforeAutospacing="0" w:after="0" w:afterAutospacing="0"/>
        <w:jc w:val="both"/>
        <w:rPr>
          <w:b/>
          <w:bCs/>
          <w:lang w:val="sr-Cyrl-RS"/>
        </w:rPr>
      </w:pPr>
      <w:r w:rsidRPr="007173F0">
        <w:rPr>
          <w:b/>
          <w:bCs/>
          <w:lang w:val="sr-Cyrl-RS"/>
        </w:rPr>
        <w:t>2) Да ли је циљ који се постиже доношењем прописа усклађен са циљевима важећих планских докумената и приоритетним циљевима Владе?</w:t>
      </w:r>
    </w:p>
    <w:p w14:paraId="054FE53F" w14:textId="77777777" w:rsidR="007173F0" w:rsidRDefault="007173F0" w:rsidP="006B0D91">
      <w:pPr>
        <w:pStyle w:val="NormalWeb"/>
        <w:spacing w:before="0" w:beforeAutospacing="0" w:after="0" w:afterAutospacing="0"/>
        <w:jc w:val="both"/>
        <w:rPr>
          <w:b/>
          <w:bCs/>
          <w:lang w:val="sr-Cyrl-RS"/>
        </w:rPr>
      </w:pPr>
    </w:p>
    <w:p w14:paraId="36D907F8" w14:textId="4F0D5433" w:rsidR="00FD5E3E" w:rsidRDefault="00FD5E3E" w:rsidP="006B0D91">
      <w:pPr>
        <w:pStyle w:val="NormalWeb"/>
        <w:spacing w:before="0" w:beforeAutospacing="0" w:after="0" w:afterAutospacing="0"/>
        <w:jc w:val="both"/>
        <w:rPr>
          <w:lang w:val="sr-Cyrl-RS"/>
        </w:rPr>
      </w:pPr>
      <w:r w:rsidRPr="006B0D91">
        <w:rPr>
          <w:rStyle w:val="Strong"/>
          <w:b w:val="0"/>
          <w:bCs w:val="0"/>
          <w:lang w:val="sr-Cyrl-RS"/>
        </w:rPr>
        <w:t>Циљ увођења система „е-Боловање – Послодавац</w:t>
      </w:r>
      <w:r w:rsidR="00CA33CC" w:rsidRPr="00CA33CC">
        <w:rPr>
          <w:rStyle w:val="Strong"/>
          <w:b w:val="0"/>
          <w:bCs w:val="0"/>
          <w:lang w:val="sr-Cyrl-CS"/>
        </w:rPr>
        <w:t>”</w:t>
      </w:r>
      <w:r w:rsidRPr="006B0D91">
        <w:rPr>
          <w:lang w:val="sr-Cyrl-RS"/>
        </w:rPr>
        <w:t xml:space="preserve"> је усклађен са низом важећих националних и секторских стратешких докумената и реформских иницијатива, како следи:</w:t>
      </w:r>
    </w:p>
    <w:p w14:paraId="3F139693" w14:textId="0BE5A3CB" w:rsidR="00FD5E3E" w:rsidRPr="006B0D91" w:rsidRDefault="00FD5E3E" w:rsidP="00CD4D46">
      <w:pPr>
        <w:pStyle w:val="Heading4"/>
        <w:numPr>
          <w:ilvl w:val="0"/>
          <w:numId w:val="11"/>
        </w:numPr>
        <w:spacing w:before="0" w:line="240" w:lineRule="auto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</w:pPr>
      <w:r w:rsidRPr="006B0D91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>Стратегијa реформе јавне управе у Републици Србији за период од 2021. до 2030. године („Службени гласник РС</w:t>
      </w:r>
      <w:r w:rsidR="00013AD3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>”</w:t>
      </w:r>
      <w:r w:rsidRPr="006B0D91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>, бр. 42/21 и 9/22) - Посебан циљ 5. Јавна управа на ефикасан и иновативан начин пружа услуге које одговарају на потребе крајњих корисника и унапређују њихово корисничко искуство;</w:t>
      </w:r>
    </w:p>
    <w:p w14:paraId="482A0A20" w14:textId="5C570D63" w:rsidR="006B2888" w:rsidRPr="006B0D91" w:rsidRDefault="006B2888" w:rsidP="00CD4D4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B0D91">
        <w:rPr>
          <w:rFonts w:ascii="Times New Roman" w:hAnsi="Times New Roman" w:cs="Times New Roman"/>
          <w:sz w:val="24"/>
          <w:szCs w:val="24"/>
          <w:lang w:val="sr-Cyrl-RS"/>
        </w:rPr>
        <w:t>Програм развоја електронске управе у Републици Србији за период од 2023. до 2025. године са Акционим планом за његово спровођење („Службени гласник РС</w:t>
      </w:r>
      <w:r w:rsidR="00013AD3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6B0D91">
        <w:rPr>
          <w:rFonts w:ascii="Times New Roman" w:hAnsi="Times New Roman" w:cs="Times New Roman"/>
          <w:sz w:val="24"/>
          <w:szCs w:val="24"/>
          <w:lang w:val="sr-Cyrl-RS"/>
        </w:rPr>
        <w:t>, број 33/23) – Посебан циљ 1. Развој инфраструктуре у е-управи и обезбеђивање интероперабилности и Посебан циљ 3. Повећање доступности е-управе грађанима и привреди кроз унапређење корисничких сервиса;</w:t>
      </w:r>
    </w:p>
    <w:p w14:paraId="3A46CF73" w14:textId="0CA164E9" w:rsidR="001C4CDB" w:rsidRPr="006B0D91" w:rsidRDefault="00500873" w:rsidP="00CD4D46">
      <w:pPr>
        <w:pStyle w:val="Heading4"/>
        <w:numPr>
          <w:ilvl w:val="0"/>
          <w:numId w:val="11"/>
        </w:numPr>
        <w:spacing w:before="0" w:line="240" w:lineRule="auto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</w:pPr>
      <w:r w:rsidRPr="006B0D91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>Стратегија јавног здравља у Републици Србији 2018–2026. године („Службени гласник РС</w:t>
      </w:r>
      <w:r w:rsidR="00013AD3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>”</w:t>
      </w:r>
      <w:r w:rsidRPr="006B0D91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 xml:space="preserve">, број 61/18 - </w:t>
      </w:r>
      <w:r w:rsidR="001C4CDB" w:rsidRPr="006B0D91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>Посеб</w:t>
      </w:r>
      <w:r w:rsidRPr="006B0D91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>а</w:t>
      </w:r>
      <w:r w:rsidR="001C4CDB" w:rsidRPr="006B0D91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>н циљ 5. Подршка развоју доступне, квалитетне и ефикасне здравствене заштите и Посеб</w:t>
      </w:r>
      <w:r w:rsidRPr="006B0D91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>ан</w:t>
      </w:r>
      <w:r w:rsidR="001C4CDB" w:rsidRPr="006B0D91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 xml:space="preserve"> циљ 7. Унапређење управљања, комуникације и партнерства за примену начела „здравље у свим политикама”.</w:t>
      </w:r>
    </w:p>
    <w:p w14:paraId="5FAB593C" w14:textId="4EF92918" w:rsidR="00FD5E3E" w:rsidRPr="006B0D91" w:rsidRDefault="00FD5E3E" w:rsidP="00CD4D46">
      <w:pPr>
        <w:pStyle w:val="Heading4"/>
        <w:numPr>
          <w:ilvl w:val="0"/>
          <w:numId w:val="11"/>
        </w:numPr>
        <w:spacing w:before="0" w:line="240" w:lineRule="auto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</w:pPr>
      <w:r w:rsidRPr="006B0D91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>План активности у процесу европских интеграција</w:t>
      </w:r>
      <w:r w:rsidR="00522870" w:rsidRPr="006B0D91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 xml:space="preserve"> – пренос решења </w:t>
      </w:r>
      <w:r w:rsidR="006B0D91" w:rsidRPr="006B0D91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>из прописа Европске уније у области радног и социјалног права, и то из</w:t>
      </w:r>
      <w:r w:rsidR="00522870" w:rsidRPr="006B0D91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 xml:space="preserve"> Директиве </w:t>
      </w:r>
      <w:r w:rsidRPr="006B0D91">
        <w:rPr>
          <w:rStyle w:val="Emphasis"/>
          <w:rFonts w:ascii="Times New Roman" w:hAnsi="Times New Roman" w:cs="Times New Roman"/>
          <w:color w:val="auto"/>
          <w:sz w:val="24"/>
          <w:szCs w:val="24"/>
          <w:lang w:val="sr-Cyrl-RS"/>
        </w:rPr>
        <w:t>2019/1158/EU</w:t>
      </w:r>
      <w:r w:rsidRPr="006B0D91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 xml:space="preserve"> у делу правовременог обавештавања и обраде података у поступцима везаним за одсуство са</w:t>
      </w:r>
      <w:r w:rsidRPr="006B0D91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6B0D91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>рада</w:t>
      </w:r>
      <w:r w:rsidR="006B0D91" w:rsidRPr="006B0D91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sr-Cyrl-RS"/>
        </w:rPr>
        <w:t>.</w:t>
      </w:r>
    </w:p>
    <w:p w14:paraId="0C00D8C2" w14:textId="77777777" w:rsidR="00ED2FA0" w:rsidRDefault="00ED2FA0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ED2FA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3) На основу ког показатеља учинка се утврђује да ли је дошло до постизања циља?</w:t>
      </w:r>
    </w:p>
    <w:p w14:paraId="4F4C6523" w14:textId="55DFF683" w:rsidR="00F4263E" w:rsidRDefault="00F4263E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Кључни </w:t>
      </w:r>
      <w:r w:rsidRPr="00212671">
        <w:rPr>
          <w:rFonts w:ascii="Times New Roman" w:eastAsia="Times New Roman" w:hAnsi="Times New Roman" w:cs="Times New Roman"/>
          <w:sz w:val="24"/>
          <w:szCs w:val="24"/>
          <w:lang w:val="sr-Cyrl-RS"/>
        </w:rPr>
        <w:t>индикатори учинка (KPIs)</w:t>
      </w:r>
      <w:r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 могу </w:t>
      </w:r>
      <w:r w:rsidR="00CE5D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 се </w:t>
      </w:r>
      <w:r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>корист</w:t>
      </w:r>
      <w:r w:rsidR="00CE5DD1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E5D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праћењу примене овог закона </w:t>
      </w:r>
      <w:r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>су</w:t>
      </w:r>
      <w:r w:rsidR="002126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приказани у табели у наставку.</w:t>
      </w:r>
    </w:p>
    <w:p w14:paraId="38150FC7" w14:textId="46C3AF8B" w:rsidR="00212671" w:rsidRPr="00212671" w:rsidRDefault="00212671" w:rsidP="002126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1113A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Табела</w:t>
      </w:r>
      <w:r w:rsidR="001113AF" w:rsidRPr="001113A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2</w:t>
      </w:r>
      <w:r w:rsidRPr="001113A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: Индикатори</w:t>
      </w:r>
      <w:r w:rsidRPr="0021267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учинка у праћењу примене овог закона</w:t>
      </w:r>
    </w:p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3120"/>
        <w:gridCol w:w="1559"/>
        <w:gridCol w:w="1417"/>
        <w:gridCol w:w="1985"/>
        <w:gridCol w:w="2126"/>
      </w:tblGrid>
      <w:tr w:rsidR="00212671" w:rsidRPr="00212671" w14:paraId="61D96D80" w14:textId="77777777" w:rsidTr="00077500">
        <w:tc>
          <w:tcPr>
            <w:tcW w:w="3120" w:type="dxa"/>
            <w:hideMark/>
          </w:tcPr>
          <w:p w14:paraId="508C32FE" w14:textId="77777777" w:rsidR="00212671" w:rsidRPr="00212671" w:rsidRDefault="00212671" w:rsidP="009F3E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sr-Cyrl-RS"/>
              </w:rPr>
              <w:t>Име индикатора</w:t>
            </w:r>
          </w:p>
        </w:tc>
        <w:tc>
          <w:tcPr>
            <w:tcW w:w="1559" w:type="dxa"/>
            <w:hideMark/>
          </w:tcPr>
          <w:p w14:paraId="2D8D1144" w14:textId="77777777" w:rsidR="00212671" w:rsidRPr="00212671" w:rsidRDefault="00212671" w:rsidP="009F3E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sr-Cyrl-RS"/>
              </w:rPr>
              <w:t>Јединица мере</w:t>
            </w:r>
          </w:p>
        </w:tc>
        <w:tc>
          <w:tcPr>
            <w:tcW w:w="1417" w:type="dxa"/>
            <w:hideMark/>
          </w:tcPr>
          <w:p w14:paraId="17DC3320" w14:textId="77777777" w:rsidR="00212671" w:rsidRPr="00212671" w:rsidRDefault="00212671" w:rsidP="009F3E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sr-Cyrl-RS"/>
              </w:rPr>
              <w:t>Почетна вредност</w:t>
            </w:r>
          </w:p>
        </w:tc>
        <w:tc>
          <w:tcPr>
            <w:tcW w:w="1985" w:type="dxa"/>
            <w:hideMark/>
          </w:tcPr>
          <w:p w14:paraId="75A208CC" w14:textId="77777777" w:rsidR="00212671" w:rsidRPr="00212671" w:rsidRDefault="00212671" w:rsidP="009F3E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sr-Cyrl-RS"/>
              </w:rPr>
              <w:t>Циљана вредност</w:t>
            </w:r>
          </w:p>
        </w:tc>
        <w:tc>
          <w:tcPr>
            <w:tcW w:w="2126" w:type="dxa"/>
          </w:tcPr>
          <w:p w14:paraId="64386076" w14:textId="77777777" w:rsidR="00212671" w:rsidRPr="00212671" w:rsidRDefault="00212671" w:rsidP="009F3E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sr-Cyrl-RS"/>
              </w:rPr>
              <w:t>Извор података</w:t>
            </w:r>
          </w:p>
        </w:tc>
      </w:tr>
      <w:tr w:rsidR="00212671" w:rsidRPr="00212671" w14:paraId="49A6AC02" w14:textId="77777777" w:rsidTr="00077500">
        <w:tc>
          <w:tcPr>
            <w:tcW w:w="3120" w:type="dxa"/>
            <w:hideMark/>
          </w:tcPr>
          <w:p w14:paraId="6D4AB125" w14:textId="3AC000F6" w:rsidR="00212671" w:rsidRPr="00212671" w:rsidRDefault="00212671" w:rsidP="009F3EFB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Удео боловања </w:t>
            </w:r>
            <w:r w:rsidR="001113AF"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кој</w:t>
            </w:r>
            <w:r w:rsidR="001113AF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а су</w:t>
            </w:r>
            <w:r w:rsidR="001113AF"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 спроведен </w:t>
            </w:r>
            <w:r w:rsidR="001113AF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а</w:t>
            </w:r>
            <w:r w:rsidR="001113AF"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електронским поступањем </w:t>
            </w: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у односу на укупан број</w:t>
            </w:r>
            <w:r w:rsidR="001113AF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  боловања</w:t>
            </w: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 </w:t>
            </w:r>
          </w:p>
        </w:tc>
        <w:tc>
          <w:tcPr>
            <w:tcW w:w="1559" w:type="dxa"/>
            <w:hideMark/>
          </w:tcPr>
          <w:p w14:paraId="657ADCFD" w14:textId="77777777" w:rsidR="00212671" w:rsidRPr="00212671" w:rsidRDefault="00212671" w:rsidP="009F3E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%</w:t>
            </w:r>
          </w:p>
        </w:tc>
        <w:tc>
          <w:tcPr>
            <w:tcW w:w="1417" w:type="dxa"/>
            <w:hideMark/>
          </w:tcPr>
          <w:p w14:paraId="357CBC30" w14:textId="77777777" w:rsidR="00212671" w:rsidRPr="00212671" w:rsidRDefault="00212671" w:rsidP="009F3E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0%</w:t>
            </w:r>
          </w:p>
        </w:tc>
        <w:tc>
          <w:tcPr>
            <w:tcW w:w="1985" w:type="dxa"/>
            <w:hideMark/>
          </w:tcPr>
          <w:p w14:paraId="0D4C54F5" w14:textId="7707376D" w:rsidR="00212671" w:rsidRPr="00212671" w:rsidRDefault="001113AF" w:rsidP="001A7367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95</w:t>
            </w:r>
            <w:r w:rsidR="00212671"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%</w:t>
            </w:r>
            <w:r w:rsidR="001A7367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,</w:t>
            </w:r>
            <w:r w:rsidR="00212671"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 у року од 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2</w:t>
            </w:r>
            <w:r w:rsidR="00212671"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 месеци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 </w:t>
            </w:r>
            <w:r w:rsidRPr="001113AF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од ступања закона на снагу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 (2026)</w:t>
            </w:r>
          </w:p>
        </w:tc>
        <w:tc>
          <w:tcPr>
            <w:tcW w:w="2126" w:type="dxa"/>
          </w:tcPr>
          <w:p w14:paraId="4463F479" w14:textId="522F3E69" w:rsidR="00212671" w:rsidRPr="00212671" w:rsidRDefault="00212671" w:rsidP="009F3EFB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Канцеларија за ИТ и еУправу / РФЗО</w:t>
            </w:r>
            <w:r w:rsidR="001113AF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 / Министарство здравља</w:t>
            </w:r>
          </w:p>
        </w:tc>
      </w:tr>
      <w:tr w:rsidR="00077500" w:rsidRPr="00212671" w14:paraId="3220BC58" w14:textId="77777777" w:rsidTr="00077500">
        <w:tc>
          <w:tcPr>
            <w:tcW w:w="3120" w:type="dxa"/>
          </w:tcPr>
          <w:p w14:paraId="1A21B1B4" w14:textId="77777777" w:rsidR="00212671" w:rsidRPr="00212671" w:rsidRDefault="00212671" w:rsidP="009F3EFB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Проценат здравствених установа повезаних на систем</w:t>
            </w:r>
          </w:p>
        </w:tc>
        <w:tc>
          <w:tcPr>
            <w:tcW w:w="1559" w:type="dxa"/>
          </w:tcPr>
          <w:p w14:paraId="19AB0C3A" w14:textId="77777777" w:rsidR="00212671" w:rsidRPr="00212671" w:rsidRDefault="00212671" w:rsidP="009F3E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%</w:t>
            </w:r>
          </w:p>
        </w:tc>
        <w:tc>
          <w:tcPr>
            <w:tcW w:w="1417" w:type="dxa"/>
          </w:tcPr>
          <w:p w14:paraId="5200CBA2" w14:textId="77777777" w:rsidR="00212671" w:rsidRPr="00212671" w:rsidRDefault="00212671" w:rsidP="009F3E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0%</w:t>
            </w:r>
          </w:p>
        </w:tc>
        <w:tc>
          <w:tcPr>
            <w:tcW w:w="1985" w:type="dxa"/>
          </w:tcPr>
          <w:p w14:paraId="0390F965" w14:textId="7573D033" w:rsidR="00212671" w:rsidRPr="00212671" w:rsidRDefault="00212671" w:rsidP="001A7367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&gt;90%</w:t>
            </w:r>
            <w:r w:rsidR="001A7367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,</w:t>
            </w: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 у року од </w:t>
            </w:r>
            <w:r w:rsidR="001113AF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12 до </w:t>
            </w: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18 месеци</w:t>
            </w:r>
          </w:p>
        </w:tc>
        <w:tc>
          <w:tcPr>
            <w:tcW w:w="2126" w:type="dxa"/>
          </w:tcPr>
          <w:p w14:paraId="6BBC4E9D" w14:textId="77777777" w:rsidR="00212671" w:rsidRPr="00212671" w:rsidRDefault="00212671" w:rsidP="009F3EFB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Канцеларија за ИТ и еУправу / РФЗО</w:t>
            </w:r>
          </w:p>
        </w:tc>
      </w:tr>
      <w:tr w:rsidR="00212671" w:rsidRPr="00212671" w14:paraId="40E5AF65" w14:textId="77777777" w:rsidTr="00077500">
        <w:tc>
          <w:tcPr>
            <w:tcW w:w="3120" w:type="dxa"/>
            <w:hideMark/>
          </w:tcPr>
          <w:p w14:paraId="2CE6579C" w14:textId="6734B944" w:rsidR="00212671" w:rsidRPr="00212671" w:rsidRDefault="001113AF" w:rsidP="009F3E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1113AF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Скраћење рокова за размену докумената</w:t>
            </w:r>
          </w:p>
        </w:tc>
        <w:tc>
          <w:tcPr>
            <w:tcW w:w="1559" w:type="dxa"/>
            <w:hideMark/>
          </w:tcPr>
          <w:p w14:paraId="1BBBB4C5" w14:textId="77777777" w:rsidR="00212671" w:rsidRPr="00212671" w:rsidRDefault="00212671" w:rsidP="009F3E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дани</w:t>
            </w:r>
          </w:p>
        </w:tc>
        <w:tc>
          <w:tcPr>
            <w:tcW w:w="1417" w:type="dxa"/>
            <w:hideMark/>
          </w:tcPr>
          <w:p w14:paraId="0B12ACC8" w14:textId="3DCBC3E1" w:rsidR="00212671" w:rsidRPr="00212671" w:rsidRDefault="001113AF" w:rsidP="009F3E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3-5</w:t>
            </w:r>
            <w:r w:rsidR="00212671"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 дана</w:t>
            </w:r>
          </w:p>
        </w:tc>
        <w:tc>
          <w:tcPr>
            <w:tcW w:w="1985" w:type="dxa"/>
            <w:hideMark/>
          </w:tcPr>
          <w:p w14:paraId="667B2582" w14:textId="00B6875E" w:rsidR="00212671" w:rsidRPr="00212671" w:rsidRDefault="001A7367" w:rsidP="001A7367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1A7367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≤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1 </w:t>
            </w:r>
            <w:r w:rsidR="00212671"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дан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, у року од 6 месеци</w:t>
            </w:r>
          </w:p>
        </w:tc>
        <w:tc>
          <w:tcPr>
            <w:tcW w:w="2126" w:type="dxa"/>
          </w:tcPr>
          <w:p w14:paraId="1D5AD68D" w14:textId="77777777" w:rsidR="00212671" w:rsidRPr="00212671" w:rsidRDefault="00212671" w:rsidP="009F3E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Метаподаци у систему</w:t>
            </w:r>
          </w:p>
        </w:tc>
      </w:tr>
      <w:tr w:rsidR="00212671" w:rsidRPr="00212671" w14:paraId="5E9D76AF" w14:textId="77777777" w:rsidTr="00077500">
        <w:tc>
          <w:tcPr>
            <w:tcW w:w="3120" w:type="dxa"/>
            <w:hideMark/>
          </w:tcPr>
          <w:p w14:paraId="28B1B57E" w14:textId="77777777" w:rsidR="00212671" w:rsidRPr="00212671" w:rsidRDefault="00212671" w:rsidP="009F3EFB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Степен задовољства корисника (запослених и послодаваца)</w:t>
            </w:r>
          </w:p>
        </w:tc>
        <w:tc>
          <w:tcPr>
            <w:tcW w:w="1559" w:type="dxa"/>
            <w:hideMark/>
          </w:tcPr>
          <w:p w14:paraId="2F6F2996" w14:textId="77777777" w:rsidR="00DF5541" w:rsidRDefault="00DF5541" w:rsidP="009F3E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DF554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Индекс задовољства </w:t>
            </w:r>
          </w:p>
          <w:p w14:paraId="448C78B7" w14:textId="379A244B" w:rsidR="00212671" w:rsidRPr="00212671" w:rsidRDefault="00DF5541" w:rsidP="009F3EF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DF554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(0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-</w:t>
            </w:r>
            <w:r w:rsidRPr="00DF554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5 или 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-</w:t>
            </w:r>
            <w:r w:rsidRPr="00DF554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10)</w:t>
            </w:r>
          </w:p>
        </w:tc>
        <w:tc>
          <w:tcPr>
            <w:tcW w:w="1417" w:type="dxa"/>
            <w:hideMark/>
          </w:tcPr>
          <w:p w14:paraId="5BFFEB6E" w14:textId="3E3FEF7C" w:rsidR="00212671" w:rsidRPr="00212671" w:rsidRDefault="00212671" w:rsidP="00077500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21267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Нема</w:t>
            </w:r>
            <w:r w:rsidR="00DF554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 (није мерено)</w:t>
            </w:r>
          </w:p>
        </w:tc>
        <w:tc>
          <w:tcPr>
            <w:tcW w:w="1985" w:type="dxa"/>
            <w:hideMark/>
          </w:tcPr>
          <w:p w14:paraId="03F7CAD5" w14:textId="3AF13204" w:rsidR="00212671" w:rsidRPr="00212671" w:rsidRDefault="00DF5541" w:rsidP="00DF5541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DF554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&gt;4/5 или &gt;8/10 након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прве године</w:t>
            </w:r>
            <w:r w:rsidRPr="00DF554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 xml:space="preserve"> примене</w:t>
            </w:r>
          </w:p>
        </w:tc>
        <w:tc>
          <w:tcPr>
            <w:tcW w:w="2126" w:type="dxa"/>
          </w:tcPr>
          <w:p w14:paraId="542D081F" w14:textId="1346C831" w:rsidR="00212671" w:rsidRPr="00FD5E3E" w:rsidRDefault="00DF5541" w:rsidP="009F3EFB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sr-Latn-RS"/>
              </w:rPr>
            </w:pPr>
            <w:r w:rsidRPr="00DF5541"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  <w:t>Анкета корисника преко портала еУправа / системска анкета након коришћења</w:t>
            </w:r>
          </w:p>
        </w:tc>
      </w:tr>
    </w:tbl>
    <w:p w14:paraId="2C92BFD2" w14:textId="77777777" w:rsidR="001A7367" w:rsidRDefault="001A7367" w:rsidP="002126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635854D9" w14:textId="77777777" w:rsidR="0061027B" w:rsidRDefault="0061027B" w:rsidP="002126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1A7D8071" w14:textId="77777777" w:rsidR="0061027B" w:rsidRDefault="0061027B" w:rsidP="002126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7CA488E4" w14:textId="4EBBECF0" w:rsidR="001A7367" w:rsidRDefault="001A7367" w:rsidP="002126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1A736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4) Дефинисати извор провере и рокове за прикупљање података за праћење примене прописа.</w:t>
      </w:r>
    </w:p>
    <w:p w14:paraId="4AAA9A53" w14:textId="77777777" w:rsidR="001A7367" w:rsidRDefault="001A7367" w:rsidP="002126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37CD23D2" w14:textId="4F249D12" w:rsidR="00F4263E" w:rsidRPr="005578CE" w:rsidRDefault="00F4263E" w:rsidP="002126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Извори података</w:t>
      </w:r>
      <w:r w:rsidR="00212671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праћење примене овог закона су</w:t>
      </w:r>
      <w:r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53E4053B" w14:textId="6E14ED25" w:rsidR="00F4263E" w:rsidRPr="005578CE" w:rsidRDefault="00FE71AB" w:rsidP="00CD4D4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софтверско решење</w:t>
      </w:r>
      <w:r w:rsidR="00F4263E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„Е-боловање – Здравље</w:t>
      </w:r>
      <w:r w:rsidR="00E505B6" w:rsidRPr="00E505B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="00F4263E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</w:t>
      </w:r>
      <w:r w:rsidR="00B70309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Министарство здравља</w:t>
      </w:r>
      <w:r w:rsidR="00F4263E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);</w:t>
      </w:r>
    </w:p>
    <w:p w14:paraId="6DA98F62" w14:textId="6902C540" w:rsidR="00F4263E" w:rsidRPr="005578CE" w:rsidRDefault="00FE71AB" w:rsidP="00CD4D4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софтверско решење</w:t>
      </w:r>
      <w:r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F4263E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„Е-боловање – Послодавац</w:t>
      </w:r>
      <w:r w:rsidR="009843E5" w:rsidRPr="009843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="00F4263E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</w:t>
      </w:r>
      <w:r w:rsidR="00B70309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Канцеларија за и</w:t>
      </w:r>
      <w:r w:rsidR="00212671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="00B70309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формационе технологије и електронску управу</w:t>
      </w:r>
      <w:r w:rsidR="00F4263E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);</w:t>
      </w:r>
    </w:p>
    <w:p w14:paraId="1CEE9279" w14:textId="37997399" w:rsidR="00F4263E" w:rsidRPr="005578CE" w:rsidRDefault="00FE71AB" w:rsidP="00CD4D4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софтверско решење</w:t>
      </w:r>
      <w:r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„Е-боловање –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Комисије и обрачуни</w:t>
      </w:r>
      <w:r w:rsidR="009843E5" w:rsidRPr="009843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РФЗО</w:t>
      </w:r>
      <w:r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B70309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F4263E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звештаји и статистик</w:t>
      </w:r>
      <w:r w:rsidR="00212671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F4263E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РФЗО;</w:t>
      </w:r>
    </w:p>
    <w:p w14:paraId="5AC1BDC5" w14:textId="0BB2F165" w:rsidR="00B70309" w:rsidRPr="005578CE" w:rsidRDefault="00B70309" w:rsidP="00CD4D4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Републички завод за статистику и ЕУРОСТАТ;</w:t>
      </w:r>
    </w:p>
    <w:p w14:paraId="0775E6C8" w14:textId="77C40588" w:rsidR="00F4263E" w:rsidRPr="005578CE" w:rsidRDefault="00B70309" w:rsidP="00CD4D4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F4263E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нкетирање послодаваца и запослених (путем портала еУправа или других канала);</w:t>
      </w:r>
    </w:p>
    <w:p w14:paraId="51232A52" w14:textId="64B0EE86" w:rsidR="00F4263E" w:rsidRPr="005578CE" w:rsidRDefault="00B70309" w:rsidP="00CD4D4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з</w:t>
      </w:r>
      <w:r w:rsidR="00F4263E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аписници и налази инспекције рада и </w:t>
      </w:r>
      <w:r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РФЗО</w:t>
      </w:r>
      <w:r w:rsidR="00F4263E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D1B7750" w14:textId="77777777" w:rsidR="00F4263E" w:rsidRPr="005578CE" w:rsidRDefault="00F4263E" w:rsidP="005578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Рокови за прикупљање и анализу:</w:t>
      </w:r>
    </w:p>
    <w:p w14:paraId="31BD04A4" w14:textId="5A99F95F" w:rsidR="00F4263E" w:rsidRPr="005578CE" w:rsidRDefault="005578CE" w:rsidP="00CD4D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периодично: на сваких 6 месеци од почетка примене закона;</w:t>
      </w:r>
    </w:p>
    <w:p w14:paraId="3B67D37B" w14:textId="335E1FF4" w:rsidR="00F4263E" w:rsidRPr="005578CE" w:rsidRDefault="005578CE" w:rsidP="00CD4D46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F4263E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одишње: обједињени извештај </w:t>
      </w:r>
      <w:r w:rsidR="00516100">
        <w:rPr>
          <w:rFonts w:ascii="Times New Roman" w:eastAsia="Times New Roman" w:hAnsi="Times New Roman" w:cs="Times New Roman"/>
          <w:sz w:val="24"/>
          <w:szCs w:val="24"/>
          <w:lang w:val="sr-Cyrl-RS"/>
        </w:rPr>
        <w:t>о примени</w:t>
      </w:r>
      <w:r w:rsidR="00F4263E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1BAD225B" w14:textId="5DCD9CC5" w:rsidR="00F4263E" w:rsidRPr="005578CE" w:rsidRDefault="005578CE" w:rsidP="00CD4D46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повремено/по потреби (</w:t>
      </w:r>
      <w:r w:rsidRPr="005578CE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a</w:t>
      </w:r>
      <w:r w:rsidR="00F4263E" w:rsidRPr="005578CE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d hoc</w:t>
      </w:r>
      <w:r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F4263E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у случају пријава проблема од стране удружења </w:t>
      </w:r>
      <w:r w:rsidR="005161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која окупљају </w:t>
      </w:r>
      <w:r w:rsidR="00F4263E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послодав</w:t>
      </w:r>
      <w:r w:rsidR="00516100">
        <w:rPr>
          <w:rFonts w:ascii="Times New Roman" w:eastAsia="Times New Roman" w:hAnsi="Times New Roman" w:cs="Times New Roman"/>
          <w:sz w:val="24"/>
          <w:szCs w:val="24"/>
          <w:lang w:val="sr-Cyrl-RS"/>
        </w:rPr>
        <w:t>це</w:t>
      </w:r>
      <w:r w:rsidR="00F4263E" w:rsidRPr="005578CE">
        <w:rPr>
          <w:rFonts w:ascii="Times New Roman" w:eastAsia="Times New Roman" w:hAnsi="Times New Roman" w:cs="Times New Roman"/>
          <w:sz w:val="24"/>
          <w:szCs w:val="24"/>
          <w:lang w:val="sr-Cyrl-RS"/>
        </w:rPr>
        <w:t>, запослених или стручне јавности.</w:t>
      </w:r>
    </w:p>
    <w:p w14:paraId="3D219FCA" w14:textId="77777777" w:rsidR="00F4263E" w:rsidRPr="00F4263E" w:rsidRDefault="00F4263E" w:rsidP="00F0351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F4263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3. Идентификовање опција</w:t>
      </w:r>
    </w:p>
    <w:p w14:paraId="4B38BD4D" w14:textId="77777777" w:rsidR="001A7367" w:rsidRDefault="001A7367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1A736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1) Да ли је циљ могуће постићи применом „status quo” опције? Приказати последице примене „status quo” опције.</w:t>
      </w:r>
    </w:p>
    <w:p w14:paraId="40CC88B2" w14:textId="03D63194" w:rsidR="00E368B6" w:rsidRPr="00E368B6" w:rsidRDefault="00F4263E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Примена</w:t>
      </w:r>
      <w:r w:rsidR="00B7030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70309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status quo</w:t>
      </w:r>
      <w:r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опције </w:t>
      </w:r>
      <w:r w:rsidR="00B70309">
        <w:rPr>
          <w:rFonts w:ascii="Times New Roman" w:eastAsia="Times New Roman" w:hAnsi="Times New Roman" w:cs="Times New Roman"/>
          <w:sz w:val="24"/>
          <w:szCs w:val="24"/>
          <w:lang w:val="sr-Cyrl-RS"/>
        </w:rPr>
        <w:t>(</w:t>
      </w:r>
      <w:r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>задржавање постојећег правног режима</w:t>
      </w:r>
      <w:r w:rsidR="00B70309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F54C0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не </w:t>
      </w:r>
      <w:r w:rsidR="00B70309" w:rsidRPr="00F54C03">
        <w:rPr>
          <w:rFonts w:ascii="Times New Roman" w:eastAsia="Times New Roman" w:hAnsi="Times New Roman" w:cs="Times New Roman"/>
          <w:sz w:val="24"/>
          <w:szCs w:val="24"/>
          <w:lang w:val="sr-Cyrl-RS"/>
        </w:rPr>
        <w:t>може да</w:t>
      </w:r>
      <w:r w:rsidRPr="00F54C0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дове</w:t>
      </w:r>
      <w:r w:rsidR="00B70309" w:rsidRPr="00F54C03">
        <w:rPr>
          <w:rFonts w:ascii="Times New Roman" w:eastAsia="Times New Roman" w:hAnsi="Times New Roman" w:cs="Times New Roman"/>
          <w:sz w:val="24"/>
          <w:szCs w:val="24"/>
          <w:lang w:val="sr-Cyrl-RS"/>
        </w:rPr>
        <w:t>де</w:t>
      </w:r>
      <w:r w:rsidRPr="00F54C0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</w:t>
      </w:r>
      <w:r w:rsidRPr="00F4263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постизања утврђеног циља</w:t>
      </w:r>
      <w:r w:rsidR="00E368B6"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51C0FFB5" w14:textId="133DDDD0" w:rsidR="00F4263E" w:rsidRPr="00E368B6" w:rsidRDefault="00E368B6" w:rsidP="00E368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>Избором ове опције дошло би до з</w:t>
      </w:r>
      <w:r w:rsidR="00F4263E"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>адржавањ</w:t>
      </w:r>
      <w:r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F4263E"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AC2BA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документације у комуникације у папирном облику, са </w:t>
      </w:r>
      <w:r w:rsidR="00F4263E"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>ручн</w:t>
      </w:r>
      <w:r w:rsidR="00AC2BA6">
        <w:rPr>
          <w:rFonts w:ascii="Times New Roman" w:eastAsia="Times New Roman" w:hAnsi="Times New Roman" w:cs="Times New Roman"/>
          <w:sz w:val="24"/>
          <w:szCs w:val="24"/>
          <w:lang w:val="sr-Cyrl-RS"/>
        </w:rPr>
        <w:t>им</w:t>
      </w:r>
      <w:r w:rsidR="00F4263E"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>начин</w:t>
      </w:r>
      <w:r w:rsidR="00AC2BA6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r w:rsidR="00F4263E"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достављања </w:t>
      </w:r>
      <w:r w:rsidR="00AC2BA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потврде и </w:t>
      </w:r>
      <w:r w:rsidR="00F4263E"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извештаја о привременој спречености за рад (боловање) у папирном облику и</w:t>
      </w:r>
      <w:r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наставка неоправданог </w:t>
      </w:r>
      <w:r w:rsidR="00F4263E"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>административно</w:t>
      </w:r>
      <w:r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F4263E"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оптерећењ</w:t>
      </w:r>
      <w:r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F4263E"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послодаваца</w:t>
      </w:r>
      <w:r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у којима </w:t>
      </w:r>
      <w:r w:rsidR="00F4263E"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>је обрада боловања свакодневна активност</w:t>
      </w:r>
      <w:r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административно-правних, кадровских и финансијских служби.</w:t>
      </w:r>
    </w:p>
    <w:p w14:paraId="056156C7" w14:textId="38D96D63" w:rsidR="00F4263E" w:rsidRPr="00E368B6" w:rsidRDefault="00E368B6" w:rsidP="00E368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Ако овај закон не би био донет и примењен, остао би н</w:t>
      </w:r>
      <w:r w:rsidR="00F4263E"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>едостатак правовремене евиденције о привременој спречености за рад, што онемогућава квалитетну контролу исплате накнаде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као и ф</w:t>
      </w:r>
      <w:r w:rsidR="00F4263E"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>рагментисан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 (разуђена)</w:t>
      </w:r>
      <w:r w:rsidR="00F4263E"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надлежности и недовољна транспарентност, услед неповезаности РФЗО, послодаваца и здравствених установа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те н</w:t>
      </w:r>
      <w:r w:rsidR="00F4263E"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еусклађеност са националним и међународним правцем дигитализације, што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Републику </w:t>
      </w:r>
      <w:r w:rsidR="00F4263E" w:rsidRPr="00E368B6">
        <w:rPr>
          <w:rFonts w:ascii="Times New Roman" w:eastAsia="Times New Roman" w:hAnsi="Times New Roman" w:cs="Times New Roman"/>
          <w:sz w:val="24"/>
          <w:szCs w:val="24"/>
          <w:lang w:val="sr-Cyrl-RS"/>
        </w:rPr>
        <w:t>Србију дугорочно чини неусклађеном са стандардима ЕУ.</w:t>
      </w:r>
      <w:r w:rsidR="00AC2BA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Једном речју, без доношења овог закона постојеће стање би остало исто, а установљени проблеми не би били решени.</w:t>
      </w:r>
    </w:p>
    <w:p w14:paraId="659BA8A6" w14:textId="77777777" w:rsidR="001A7367" w:rsidRDefault="001A7367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1A736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2) Да ли је циљ могуће постићи искључиво применом подстицајних, информативно-едукативних, институционално-управљачких или мера за обезбеђивање добара и услуга, без доношења новог или измене постојећег прописа? Навести разлоге због којих се одустало од примене ове опције.</w:t>
      </w:r>
    </w:p>
    <w:p w14:paraId="4283CB12" w14:textId="2C643ADE" w:rsidR="00265A4C" w:rsidRDefault="00DE5ACA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>Циљ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није</w:t>
      </w:r>
      <w:r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могуће постићи без доношења овог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</w:t>
      </w:r>
      <w:r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тј. </w:t>
      </w:r>
      <w:r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>само применом других мера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Применом искључиво подстицајних, едукативних или управљачких мера </w:t>
      </w:r>
      <w:r w:rsidR="00265A4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виду </w:t>
      </w:r>
      <w:r w:rsidR="006B14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оперативног </w:t>
      </w:r>
      <w:r w:rsidR="00265A4C">
        <w:rPr>
          <w:rFonts w:ascii="Times New Roman" w:eastAsia="Times New Roman" w:hAnsi="Times New Roman" w:cs="Times New Roman"/>
          <w:sz w:val="24"/>
          <w:szCs w:val="24"/>
          <w:lang w:val="sr-Cyrl-RS"/>
        </w:rPr>
        <w:t>увођења система „Е-боловање</w:t>
      </w:r>
      <w:r w:rsidR="005D1B14" w:rsidRPr="005D1B1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="00265A4C">
        <w:rPr>
          <w:rFonts w:ascii="Times New Roman" w:eastAsia="Times New Roman" w:hAnsi="Times New Roman" w:cs="Times New Roman"/>
          <w:sz w:val="24"/>
          <w:szCs w:val="24"/>
          <w:lang w:val="sr-Cyrl-RS"/>
        </w:rPr>
        <w:t>, које је и започело кроз пилот фазу</w:t>
      </w:r>
      <w:r w:rsidR="006C648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одабраним здравственим установама</w:t>
      </w:r>
      <w:r w:rsidR="00265A4C">
        <w:rPr>
          <w:rFonts w:ascii="Times New Roman" w:eastAsia="Times New Roman" w:hAnsi="Times New Roman" w:cs="Times New Roman"/>
          <w:sz w:val="24"/>
          <w:szCs w:val="24"/>
          <w:lang w:val="sr-Cyrl-RS"/>
        </w:rPr>
        <w:t>, а без доношења посебног закона</w:t>
      </w:r>
      <w:r w:rsidR="006B14D1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65A4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могу да се постигну одређени </w:t>
      </w:r>
      <w:r w:rsidR="006B14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позитивни </w:t>
      </w:r>
      <w:r w:rsidR="00265A4C">
        <w:rPr>
          <w:rFonts w:ascii="Times New Roman" w:eastAsia="Times New Roman" w:hAnsi="Times New Roman" w:cs="Times New Roman"/>
          <w:sz w:val="24"/>
          <w:szCs w:val="24"/>
          <w:lang w:val="sr-Cyrl-RS"/>
        </w:rPr>
        <w:t>ефекти</w:t>
      </w:r>
      <w:r w:rsidR="006B14D1">
        <w:rPr>
          <w:rFonts w:ascii="Times New Roman" w:eastAsia="Times New Roman" w:hAnsi="Times New Roman" w:cs="Times New Roman"/>
          <w:sz w:val="24"/>
          <w:szCs w:val="24"/>
          <w:lang w:val="sr-Cyrl-RS"/>
        </w:rPr>
        <w:t>, али је њихов домет ограничен.</w:t>
      </w:r>
    </w:p>
    <w:p w14:paraId="07178755" w14:textId="1FC02073" w:rsidR="00F4263E" w:rsidRDefault="006B14D1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Без доношења овог закона 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>не би се обезбедила правна сигурност и обавезност електронске размене података</w:t>
      </w:r>
      <w:r w:rsidR="00AA396C">
        <w:rPr>
          <w:rFonts w:ascii="Times New Roman" w:eastAsia="Times New Roman" w:hAnsi="Times New Roman" w:cs="Times New Roman"/>
          <w:sz w:val="24"/>
          <w:szCs w:val="24"/>
          <w:lang w:val="sr-Cyrl-RS"/>
        </w:rPr>
        <w:t>, докумената и обавештења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систему „Е-боловање</w:t>
      </w:r>
      <w:r w:rsidR="00AA39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92F88">
        <w:rPr>
          <w:rFonts w:ascii="Times New Roman" w:eastAsia="Times New Roman" w:hAnsi="Times New Roman" w:cs="Times New Roman"/>
          <w:sz w:val="24"/>
          <w:szCs w:val="24"/>
          <w:lang w:val="sr-Cyrl-RS"/>
        </w:rPr>
        <w:t>–</w:t>
      </w:r>
      <w:r w:rsidR="00AA39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Послодавац</w:t>
      </w:r>
      <w:r w:rsidR="00592F88" w:rsidRPr="00592F8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B56B8B" w:rsidRP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Без нормативног основа, мере 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ове врсте </w:t>
      </w:r>
      <w:r w:rsidR="00B56B8B" w:rsidRP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немају 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потреба</w:t>
      </w:r>
      <w:r w:rsidR="00B56B8B" w:rsidRP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 регулаторни капацитет да обезбеде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целовиту, </w:t>
      </w:r>
      <w:r w:rsidR="002360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обавезну и 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једнаку примену</w:t>
      </w:r>
      <w:r w:rsidR="00B56B8B" w:rsidRP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2360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као и </w:t>
      </w:r>
      <w:r w:rsidR="00B56B8B" w:rsidRP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правну сигурност </w:t>
      </w:r>
      <w:r w:rsidR="0023602F">
        <w:rPr>
          <w:rFonts w:ascii="Times New Roman" w:eastAsia="Times New Roman" w:hAnsi="Times New Roman" w:cs="Times New Roman"/>
          <w:sz w:val="24"/>
          <w:szCs w:val="24"/>
          <w:lang w:val="sr-Cyrl-RS"/>
        </w:rPr>
        <w:t>з</w:t>
      </w:r>
      <w:r w:rsidR="00B56B8B" w:rsidRP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све </w:t>
      </w:r>
      <w:r w:rsidR="0023602F">
        <w:rPr>
          <w:rFonts w:ascii="Times New Roman" w:eastAsia="Times New Roman" w:hAnsi="Times New Roman" w:cs="Times New Roman"/>
          <w:sz w:val="24"/>
          <w:szCs w:val="24"/>
          <w:lang w:val="sr-Cyrl-RS"/>
        </w:rPr>
        <w:t>учеснике</w:t>
      </w:r>
      <w:r w:rsidR="00B56B8B" w:rsidRP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C67B5C1" w14:textId="5E85F861" w:rsidR="00F4263E" w:rsidRPr="00DE5ACA" w:rsidRDefault="00DE5ACA" w:rsidP="00B56B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Без до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ошења овог закона наставила би да постоји н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>еједнака примена у пракси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будући да 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постоји оправдана бојазан да, 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без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пр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писан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 обавезе,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одређен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учесниц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(нпр. мањи послодавци или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мање здравствене 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>установе</w:t>
      </w:r>
      <w:r w:rsidR="002360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оне са недовољним техничким капацитетима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не би </w:t>
      </w:r>
      <w:r w:rsidR="002360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приступили систему и не би 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примењивали 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нови 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>систем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>. Остао би и н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>едостатак обавезујућих процедура и рокова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>, јер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без закона нема санкција или подстицаја за правовремену и комплетну електронску размену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података и докумената</w:t>
      </w:r>
      <w:r w:rsidR="004476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па би </w:t>
      </w:r>
      <w:r w:rsidR="00447651" w:rsidRPr="004476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систем би </w:t>
      </w:r>
      <w:r w:rsidR="00447651">
        <w:rPr>
          <w:rFonts w:ascii="Times New Roman" w:eastAsia="Times New Roman" w:hAnsi="Times New Roman" w:cs="Times New Roman"/>
          <w:sz w:val="24"/>
          <w:szCs w:val="24"/>
          <w:lang w:val="sr-Cyrl-RS"/>
        </w:rPr>
        <w:t>оста</w:t>
      </w:r>
      <w:r w:rsidR="00447651" w:rsidRPr="00447651">
        <w:rPr>
          <w:rFonts w:ascii="Times New Roman" w:eastAsia="Times New Roman" w:hAnsi="Times New Roman" w:cs="Times New Roman"/>
          <w:sz w:val="24"/>
          <w:szCs w:val="24"/>
          <w:lang w:val="sr-Cyrl-RS"/>
        </w:rPr>
        <w:t>о изложен кашњењима, недоследностима и ризику од неиспуњавања процедура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>. Тиме би примена зависила, практично, од д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обре воље појединачних 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учесника, 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систем би и даље био недовољно 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>покривен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новим алатом. Такође, остао би и н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>едовољан технички утицај без нормативн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>ог оквира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виду 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>утврђе</w:t>
      </w:r>
      <w:r w:rsidR="00F4263E" w:rsidRPr="00DE5ACA">
        <w:rPr>
          <w:rFonts w:ascii="Times New Roman" w:eastAsia="Times New Roman" w:hAnsi="Times New Roman" w:cs="Times New Roman"/>
          <w:sz w:val="24"/>
          <w:szCs w:val="24"/>
          <w:lang w:val="sr-Cyrl-RS"/>
        </w:rPr>
        <w:t>них улога, надлежности и одговорности.</w:t>
      </w:r>
    </w:p>
    <w:p w14:paraId="41B479EA" w14:textId="1CA63EA5" w:rsidR="00F4263E" w:rsidRPr="005B1376" w:rsidRDefault="00F4263E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Законом се успоставља правни основ за интеграцију, обавезу примене, рокове и услове, те увођење санкција у случају непоступања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што 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>ни</w:t>
      </w:r>
      <w:r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 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огуће постићи само </w:t>
      </w:r>
      <w:r w:rsidR="00B56B8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тзв. </w:t>
      </w:r>
      <w:r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>мекама мерама.</w:t>
      </w:r>
      <w:r w:rsidR="004476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</w:t>
      </w:r>
      <w:r w:rsidR="00447651" w:rsidRPr="004476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</w:t>
      </w:r>
      <w:r w:rsidR="00447651">
        <w:rPr>
          <w:rFonts w:ascii="Times New Roman" w:eastAsia="Times New Roman" w:hAnsi="Times New Roman" w:cs="Times New Roman"/>
          <w:sz w:val="24"/>
          <w:szCs w:val="24"/>
          <w:lang w:val="sr-Cyrl-RS"/>
        </w:rPr>
        <w:t>, према томе,</w:t>
      </w:r>
      <w:r w:rsidR="00447651" w:rsidRPr="004476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неопходан </w:t>
      </w:r>
      <w:r w:rsidR="00447651">
        <w:rPr>
          <w:rFonts w:ascii="Times New Roman" w:eastAsia="Times New Roman" w:hAnsi="Times New Roman" w:cs="Times New Roman"/>
          <w:sz w:val="24"/>
          <w:szCs w:val="24"/>
          <w:lang w:val="sr-Cyrl-RS"/>
        </w:rPr>
        <w:t>како</w:t>
      </w:r>
      <w:r w:rsidR="00447651" w:rsidRPr="004476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би се установиле јасне улоге и надлежности свих </w:t>
      </w:r>
      <w:r w:rsidR="00447651">
        <w:rPr>
          <w:rFonts w:ascii="Times New Roman" w:eastAsia="Times New Roman" w:hAnsi="Times New Roman" w:cs="Times New Roman"/>
          <w:sz w:val="24"/>
          <w:szCs w:val="24"/>
          <w:lang w:val="sr-Cyrl-RS"/>
        </w:rPr>
        <w:t>учесник</w:t>
      </w:r>
      <w:r w:rsidR="00447651" w:rsidRPr="004476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</w:t>
      </w:r>
      <w:r w:rsidR="004476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процесу </w:t>
      </w:r>
      <w:r w:rsidR="00447651" w:rsidRPr="00447651">
        <w:rPr>
          <w:rFonts w:ascii="Times New Roman" w:eastAsia="Times New Roman" w:hAnsi="Times New Roman" w:cs="Times New Roman"/>
          <w:sz w:val="24"/>
          <w:szCs w:val="24"/>
          <w:lang w:val="sr-Cyrl-RS"/>
        </w:rPr>
        <w:t>(</w:t>
      </w:r>
      <w:r w:rsidR="00447651" w:rsidRPr="005B1376">
        <w:rPr>
          <w:rFonts w:ascii="Times New Roman" w:eastAsia="Times New Roman" w:hAnsi="Times New Roman" w:cs="Times New Roman"/>
          <w:sz w:val="24"/>
          <w:szCs w:val="24"/>
          <w:lang w:val="sr-Cyrl-RS"/>
        </w:rPr>
        <w:t>изабрани лекари, послодавци, РФЗО, надлежна министарства, Канцеларија за ИТ и еУправу, послодавци и запослени), као и да би се омогућило прописивање санкција и контролних механизама у случају непоштовања обавеза.</w:t>
      </w:r>
    </w:p>
    <w:p w14:paraId="714F21C4" w14:textId="4A06CA49" w:rsidR="00F14CF6" w:rsidRPr="005B1376" w:rsidRDefault="00447651" w:rsidP="005B1376">
      <w:pPr>
        <w:pStyle w:val="NormalWeb"/>
        <w:jc w:val="both"/>
        <w:rPr>
          <w:lang w:val="sr-Cyrl-RS"/>
        </w:rPr>
      </w:pPr>
      <w:r w:rsidRPr="005B1376">
        <w:rPr>
          <w:lang w:val="sr-Cyrl-RS"/>
        </w:rPr>
        <w:t>О</w:t>
      </w:r>
      <w:r w:rsidR="00F14CF6" w:rsidRPr="005B1376">
        <w:rPr>
          <w:lang w:val="sr-Cyrl-RS"/>
        </w:rPr>
        <w:t xml:space="preserve">бавезност примене софтверског </w:t>
      </w:r>
      <w:r w:rsidRPr="005B1376">
        <w:rPr>
          <w:lang w:val="sr-Cyrl-RS"/>
        </w:rPr>
        <w:t>решењ</w:t>
      </w:r>
      <w:r w:rsidR="00F14CF6" w:rsidRPr="005B1376">
        <w:rPr>
          <w:lang w:val="sr-Cyrl-RS"/>
        </w:rPr>
        <w:t xml:space="preserve">а </w:t>
      </w:r>
      <w:r w:rsidR="00AF50C5">
        <w:rPr>
          <w:lang w:val="sr-Cyrl-RS"/>
        </w:rPr>
        <w:t>„</w:t>
      </w:r>
      <w:r w:rsidR="00212671">
        <w:rPr>
          <w:lang w:val="sr-Cyrl-RS"/>
        </w:rPr>
        <w:t>Е-боловање - Послодавац”</w:t>
      </w:r>
      <w:r w:rsidR="00F14CF6" w:rsidRPr="005B1376">
        <w:rPr>
          <w:lang w:val="sr-Cyrl-RS"/>
        </w:rPr>
        <w:t xml:space="preserve"> </w:t>
      </w:r>
      <w:r w:rsidRPr="005B1376">
        <w:rPr>
          <w:lang w:val="sr-Cyrl-RS"/>
        </w:rPr>
        <w:t>од</w:t>
      </w:r>
      <w:r w:rsidR="005B1376" w:rsidRPr="005B1376">
        <w:rPr>
          <w:lang w:val="sr-Cyrl-RS"/>
        </w:rPr>
        <w:t xml:space="preserve"> стране</w:t>
      </w:r>
      <w:r w:rsidR="00F14CF6" w:rsidRPr="005B1376">
        <w:rPr>
          <w:lang w:val="sr-Cyrl-RS"/>
        </w:rPr>
        <w:t xml:space="preserve"> здравствених установа и послодаваца </w:t>
      </w:r>
      <w:r w:rsidR="005B1376" w:rsidRPr="005B1376">
        <w:rPr>
          <w:lang w:val="sr-Cyrl-RS"/>
        </w:rPr>
        <w:t>обухвата</w:t>
      </w:r>
      <w:r w:rsidR="00F14CF6" w:rsidRPr="005B1376">
        <w:rPr>
          <w:lang w:val="sr-Cyrl-RS"/>
        </w:rPr>
        <w:t xml:space="preserve"> обавезу коришћења </w:t>
      </w:r>
      <w:r w:rsidR="005B1376" w:rsidRPr="005B1376">
        <w:rPr>
          <w:lang w:val="sr-Cyrl-RS"/>
        </w:rPr>
        <w:t>прописан</w:t>
      </w:r>
      <w:r w:rsidR="00F14CF6" w:rsidRPr="005B1376">
        <w:rPr>
          <w:lang w:val="sr-Cyrl-RS"/>
        </w:rPr>
        <w:t xml:space="preserve">их </w:t>
      </w:r>
      <w:r w:rsidR="005B1376" w:rsidRPr="005B1376">
        <w:rPr>
          <w:lang w:val="sr-Cyrl-RS"/>
        </w:rPr>
        <w:t>образаца</w:t>
      </w:r>
      <w:r w:rsidR="00F14CF6" w:rsidRPr="005B1376">
        <w:rPr>
          <w:lang w:val="sr-Cyrl-RS"/>
        </w:rPr>
        <w:t xml:space="preserve"> (потврде</w:t>
      </w:r>
      <w:r w:rsidR="005B1376" w:rsidRPr="005B1376">
        <w:rPr>
          <w:lang w:val="sr-Cyrl-RS"/>
        </w:rPr>
        <w:t xml:space="preserve"> и </w:t>
      </w:r>
      <w:r w:rsidR="00F14CF6" w:rsidRPr="005B1376">
        <w:rPr>
          <w:lang w:val="sr-Cyrl-RS"/>
        </w:rPr>
        <w:t>извештај</w:t>
      </w:r>
      <w:r w:rsidR="005B1376" w:rsidRPr="005B1376">
        <w:rPr>
          <w:lang w:val="sr-Cyrl-RS"/>
        </w:rPr>
        <w:t>и/дознаке</w:t>
      </w:r>
      <w:r w:rsidR="00F14CF6" w:rsidRPr="005B1376">
        <w:rPr>
          <w:lang w:val="sr-Cyrl-RS"/>
        </w:rPr>
        <w:t>)</w:t>
      </w:r>
      <w:r w:rsidR="005B1376" w:rsidRPr="005B1376">
        <w:rPr>
          <w:lang w:val="sr-Cyrl-RS"/>
        </w:rPr>
        <w:t xml:space="preserve"> у електронском облику</w:t>
      </w:r>
      <w:r w:rsidR="00F14CF6" w:rsidRPr="005B1376">
        <w:rPr>
          <w:lang w:val="sr-Cyrl-RS"/>
        </w:rPr>
        <w:t xml:space="preserve">, рокове за њихово издавање, техничке стандарде за размену, као </w:t>
      </w:r>
      <w:r w:rsidR="005B1376" w:rsidRPr="005B1376">
        <w:rPr>
          <w:lang w:val="sr-Cyrl-RS"/>
        </w:rPr>
        <w:t xml:space="preserve">и </w:t>
      </w:r>
      <w:r w:rsidR="00F14CF6" w:rsidRPr="005B1376">
        <w:rPr>
          <w:lang w:val="sr-Cyrl-RS"/>
        </w:rPr>
        <w:t xml:space="preserve">надлежност за успостављање, вођење и одржавање система. </w:t>
      </w:r>
      <w:r w:rsidR="005B1376" w:rsidRPr="005B1376">
        <w:rPr>
          <w:lang w:val="sr-Cyrl-RS"/>
        </w:rPr>
        <w:t>Т</w:t>
      </w:r>
      <w:r w:rsidR="00F14CF6" w:rsidRPr="005B1376">
        <w:rPr>
          <w:lang w:val="sr-Cyrl-RS"/>
        </w:rPr>
        <w:t>е обавезе није могуће успоставити ни спровести без нормативне интервенције, због чега је доношење новог закона неопходно за постизање постављеног циља.</w:t>
      </w:r>
    </w:p>
    <w:p w14:paraId="79285684" w14:textId="77777777" w:rsidR="00647D3A" w:rsidRDefault="00647D3A" w:rsidP="00B01E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647D3A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3) Које су кључне промене које се прописом предлажу ради постизања циља? </w:t>
      </w:r>
    </w:p>
    <w:p w14:paraId="155FFB16" w14:textId="6DA0FBE1" w:rsidR="00F4263E" w:rsidRDefault="00B01E61" w:rsidP="00B01E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B1592">
        <w:rPr>
          <w:rFonts w:ascii="Times New Roman" w:eastAsia="Times New Roman" w:hAnsi="Times New Roman" w:cs="Times New Roman"/>
          <w:sz w:val="24"/>
          <w:szCs w:val="24"/>
          <w:lang w:val="sr-Cyrl-RS"/>
        </w:rPr>
        <w:t>Овим законом успоставља се обавезна употреба информационог система „Е-боловање – Послодавац</w:t>
      </w:r>
      <w:r w:rsidR="00893916" w:rsidRPr="0089391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Pr="002B1592"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као централног дигиталног алата за управљање процесом размене података о привременој спречености за рад.</w:t>
      </w:r>
      <w:r w:rsidR="007D59C8" w:rsidRPr="002B15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</w:t>
      </w:r>
      <w:r w:rsidRPr="002B15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води се </w:t>
      </w:r>
      <w:r w:rsidR="00F4263E" w:rsidRPr="002B1592">
        <w:rPr>
          <w:rFonts w:ascii="Times New Roman" w:eastAsia="Times New Roman" w:hAnsi="Times New Roman" w:cs="Times New Roman"/>
          <w:sz w:val="24"/>
          <w:szCs w:val="24"/>
          <w:lang w:val="sr-Cyrl-RS"/>
        </w:rPr>
        <w:t>обавез</w:t>
      </w:r>
      <w:r w:rsidRPr="002B1592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F4263E" w:rsidRPr="002B15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електронске размене </w:t>
      </w:r>
      <w:r w:rsidRPr="002B15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података и </w:t>
      </w:r>
      <w:r w:rsidR="00F4263E" w:rsidRPr="002B1592">
        <w:rPr>
          <w:rFonts w:ascii="Times New Roman" w:eastAsia="Times New Roman" w:hAnsi="Times New Roman" w:cs="Times New Roman"/>
          <w:sz w:val="24"/>
          <w:szCs w:val="24"/>
          <w:lang w:val="sr-Cyrl-RS"/>
        </w:rPr>
        <w:t>докумената</w:t>
      </w:r>
      <w:r w:rsidR="00F4263E"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привременој спречености за рад (</w:t>
      </w:r>
      <w:r w:rsidR="00F4263E"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>боловању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F4263E"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између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изабраних лекара,</w:t>
      </w:r>
      <w:r w:rsidR="00F4263E"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послодаваца и </w:t>
      </w:r>
      <w:r w:rsidRPr="00F4263E">
        <w:rPr>
          <w:rFonts w:ascii="Times New Roman" w:eastAsia="Times New Roman" w:hAnsi="Times New Roman" w:cs="Times New Roman"/>
          <w:sz w:val="24"/>
          <w:szCs w:val="24"/>
          <w:lang w:val="sr-Cyrl-RS"/>
        </w:rPr>
        <w:t>РФЗО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5127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као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утврђују улоге и одговорности учесника у овом процесу. </w:t>
      </w:r>
    </w:p>
    <w:p w14:paraId="1C41B5CE" w14:textId="77777777" w:rsidR="00561EFD" w:rsidRDefault="00561EFD" w:rsidP="007D5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1" w:name="_Hlk207021863"/>
      <w:r w:rsidRPr="00561EFD">
        <w:rPr>
          <w:rFonts w:ascii="Times New Roman" w:eastAsia="Times New Roman" w:hAnsi="Times New Roman" w:cs="Times New Roman"/>
          <w:sz w:val="24"/>
          <w:szCs w:val="24"/>
          <w:lang w:val="sr-Cyrl-RS"/>
        </w:rPr>
        <w:t>Нова решења подржавају правну сигурност учесника, јер се обезбеђује аутоматско генерисање потврде и извештаја са унапред дефинисаним пољима и структурама, омогућава унапред дефинисане провере уноса (валидација), податке достављају овлашћени корисници (смањује се ризик од злоупотреба), а све верзије потврда/извештаја и њихових измене имају временски жиг.</w:t>
      </w:r>
    </w:p>
    <w:p w14:paraId="3B4B43D5" w14:textId="47692B93" w:rsidR="007D59C8" w:rsidRPr="007D59C8" w:rsidRDefault="007D59C8" w:rsidP="007D5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>Изабрани лекар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искључиви овлашћени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субјекат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утврђивање привремене спречености за рад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који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уноси и потврђује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потврде и 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извештаје у електронски систем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>Здравствене установе обезбеђују техничке предуслове за функционисање система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а п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ослодавци приступају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подацима и документима путем </w:t>
      </w:r>
      <w:r w:rsidR="00DC55EB">
        <w:rPr>
          <w:rFonts w:ascii="Times New Roman" w:eastAsia="Times New Roman" w:hAnsi="Times New Roman" w:cs="Times New Roman"/>
          <w:sz w:val="24"/>
          <w:szCs w:val="24"/>
          <w:lang w:val="sr-Cyrl-RS"/>
        </w:rPr>
        <w:t>Портала еУправа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достављају податке о основици и периоду накнаде,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те 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>могу поднети приговор</w:t>
      </w:r>
      <w:r w:rsidR="00DC55EB">
        <w:rPr>
          <w:rFonts w:ascii="Times New Roman" w:eastAsia="Times New Roman" w:hAnsi="Times New Roman" w:cs="Times New Roman"/>
          <w:sz w:val="24"/>
          <w:szCs w:val="24"/>
          <w:lang w:val="sr-Cyrl-RS"/>
        </w:rPr>
        <w:t>е и захтеве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путем система. 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>РФЗО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>води евиденције и обрачунава накнаде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а Канцеларија за ИТ и е-Управ</w:t>
      </w:r>
      <w:r w:rsidR="009E4121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надлежна за </w:t>
      </w:r>
      <w:r w:rsidR="00DC55E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успостављање 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техничко функционисање система.</w:t>
      </w:r>
    </w:p>
    <w:p w14:paraId="5176219D" w14:textId="637A09D7" w:rsidR="007D59C8" w:rsidRDefault="007D59C8" w:rsidP="007D5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Софтверско решење „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>Е-боловање – Послодавац</w:t>
      </w:r>
      <w:r w:rsidR="009B756A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део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система 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>Здравље и 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Управа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ширем смислу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Овај за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кон успоставља правни основ за његово функционисање, повезивање са постојећим ИТ решењима у здравственим установама,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те</w:t>
      </w:r>
      <w:r w:rsidRPr="007D59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приступ послодавцима путем Портала еУправа или API интеграције.</w:t>
      </w:r>
      <w:r w:rsidR="00013A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13AD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13B324EB" w14:textId="1914CCEC" w:rsidR="0051279F" w:rsidRPr="00D87AF3" w:rsidRDefault="0051279F" w:rsidP="0051279F">
      <w:pPr>
        <w:pStyle w:val="NormalWeb"/>
        <w:jc w:val="both"/>
        <w:rPr>
          <w:lang w:val="sr-Cyrl-RS"/>
        </w:rPr>
      </w:pPr>
      <w:r>
        <w:rPr>
          <w:lang w:val="sr-Cyrl-RS"/>
        </w:rPr>
        <w:t>Н</w:t>
      </w:r>
      <w:r w:rsidRPr="00D87AF3">
        <w:rPr>
          <w:lang w:val="sr-Cyrl-RS"/>
        </w:rPr>
        <w:t>а јасан и недвосмислен начин утвр</w:t>
      </w:r>
      <w:r>
        <w:rPr>
          <w:lang w:val="sr-Cyrl-RS"/>
        </w:rPr>
        <w:t>ђује се</w:t>
      </w:r>
      <w:r w:rsidRPr="00D87AF3">
        <w:rPr>
          <w:lang w:val="sr-Cyrl-RS"/>
        </w:rPr>
        <w:t xml:space="preserve"> механизам помоћу којег се реализује електронска комуникација учесника у поступку - изабраног лекара, РФЗО и послодавца. Успостављањем овог софтверског решења од стране Канцеларије за ИТ и е-Управу обезбеђује се централизована инфраструктура за електронску размену информација и интероперабилност са другим системима (нпр. електронски здравствени картон, портал eУправa, системи послодаваца</w:t>
      </w:r>
      <w:r w:rsidR="004A0274">
        <w:rPr>
          <w:lang w:val="sr-Cyrl-RS"/>
        </w:rPr>
        <w:t>, систем ЦРОСО</w:t>
      </w:r>
      <w:r w:rsidRPr="00D87AF3">
        <w:rPr>
          <w:lang w:val="sr-Cyrl-RS"/>
        </w:rPr>
        <w:t>). Функционалности укључују и валидност и интегритет података, праћење статуса и протока докумената, као и контролу приступа и аутентификацију корисника.</w:t>
      </w:r>
    </w:p>
    <w:p w14:paraId="726397F8" w14:textId="4B1931E0" w:rsidR="0051279F" w:rsidRPr="00D87AF3" w:rsidRDefault="0051279F" w:rsidP="0051279F">
      <w:pPr>
        <w:pStyle w:val="NormalWeb"/>
        <w:jc w:val="both"/>
        <w:rPr>
          <w:lang w:val="sr-Cyrl-RS"/>
        </w:rPr>
      </w:pPr>
      <w:r w:rsidRPr="00D87AF3">
        <w:rPr>
          <w:lang w:val="sr-Cyrl-RS"/>
        </w:rPr>
        <w:t>Уређене су и функционалне обавезе и права послодавца у оквиру система „е-Боловање – Послодавац</w:t>
      </w:r>
      <w:r w:rsidR="00013AD3">
        <w:rPr>
          <w:lang w:val="sr-Cyrl-RS"/>
        </w:rPr>
        <w:t>”</w:t>
      </w:r>
      <w:r w:rsidRPr="00D87AF3">
        <w:rPr>
          <w:lang w:val="sr-Cyrl-RS"/>
        </w:rPr>
        <w:t>, у складу са циљем дигитализације процеса који се односи на привремену спреченост за рад запосленог. Предвиђа се да је послодавац обавезан да преко овог система прима електронске потврде и извештаје о привременој спречености за рад, подноси електронске захтеве за обрачун накнада и добија повратне обрачуне, подноси приговоре и захтеве за оцену</w:t>
      </w:r>
      <w:r w:rsidR="004A0274">
        <w:rPr>
          <w:lang w:val="sr-Cyrl-RS"/>
        </w:rPr>
        <w:t xml:space="preserve"> здравствене способности и вештачење</w:t>
      </w:r>
      <w:r w:rsidRPr="00D87AF3">
        <w:rPr>
          <w:lang w:val="sr-Cyrl-RS"/>
        </w:rPr>
        <w:t>, као и да прима одговоре лекарских комисија. На овај начин се у целости уклања потреба за папирном документацијом у тим процедуралним радњама, чиме се значајно смањују административни трошкови, кашњења и грешке у поступку, а истовремено повећава правна сигурност и транспарентност.</w:t>
      </w:r>
    </w:p>
    <w:p w14:paraId="7AD429B5" w14:textId="67940E19" w:rsidR="00433EDC" w:rsidRPr="00D87AF3" w:rsidRDefault="00433EDC" w:rsidP="00433EDC">
      <w:pPr>
        <w:pStyle w:val="NormalWeb"/>
        <w:jc w:val="both"/>
        <w:rPr>
          <w:lang w:val="sr-Cyrl-RS"/>
        </w:rPr>
      </w:pPr>
      <w:r w:rsidRPr="00D87AF3">
        <w:rPr>
          <w:lang w:val="sr-Cyrl-RS"/>
        </w:rPr>
        <w:t>Обим електронске размене</w:t>
      </w:r>
      <w:r>
        <w:rPr>
          <w:lang w:val="sr-Cyrl-RS"/>
        </w:rPr>
        <w:t>, поред потврде и извештаја о привременој спречености за рад,</w:t>
      </w:r>
      <w:r w:rsidRPr="00D87AF3">
        <w:rPr>
          <w:lang w:val="sr-Cyrl-RS"/>
        </w:rPr>
        <w:t xml:space="preserve"> проширен је и на документа која издаје РФЗО, као и на обавештења лекарских комисија која се односе на оцењивање привремене спречености за рад. Преко овог система доставља се обрачун накнаде зараде који РФЗО израчунава на основу захтева послодавца и достављају одлуке, мишљења и обавештења које издају првостепене или другостепене лекарске комисије (по иницијативи изабраног лекара или на основу приговора/захтева послодавца).</w:t>
      </w:r>
      <w:r>
        <w:rPr>
          <w:lang w:val="sr-Cyrl-RS"/>
        </w:rPr>
        <w:t xml:space="preserve"> Ради се о </w:t>
      </w:r>
      <w:r w:rsidRPr="00D87AF3">
        <w:rPr>
          <w:lang w:val="sr-Cyrl-RS"/>
        </w:rPr>
        <w:t>аутоматизацији административне комуникације између послодаваца и РФЗО и усклађивању свих токова података унутар јединственог система, као и у омогућавању праћења статуса обрачуна и приговора у реалном времену. Тиме се додатно оснажује дигитална трансформација управних поступака у области здравственог осигурања и постиже интеграција између учесника у поступку остваривања права запослених на накнаду зараде за време боловања.</w:t>
      </w:r>
    </w:p>
    <w:bookmarkEnd w:id="1"/>
    <w:p w14:paraId="233E4CE3" w14:textId="77777777" w:rsidR="00647D3A" w:rsidRDefault="00647D3A" w:rsidP="00CE5D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647D3A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4) Које опције су разматране приликом израде прописа и навести разлоге због којих се од њих одустало?</w:t>
      </w:r>
    </w:p>
    <w:p w14:paraId="02ACE017" w14:textId="5EB1CE47" w:rsidR="001D17AA" w:rsidRPr="00647D3A" w:rsidRDefault="001D17AA" w:rsidP="00CE5D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D17AA">
        <w:rPr>
          <w:rFonts w:ascii="Times New Roman" w:eastAsia="Times New Roman" w:hAnsi="Times New Roman" w:cs="Times New Roman"/>
          <w:sz w:val="24"/>
          <w:szCs w:val="24"/>
          <w:lang w:val="sr-Cyrl-RS"/>
        </w:rPr>
        <w:t>Увођење електронске размене података и докумената у вези са привременом спреченошћу за рад захтева свеобухватан, обавезујући и правно сигуран нормативни оквир. Испитане алтернативе</w:t>
      </w:r>
      <w:r w:rsidRPr="00CE5D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виду</w:t>
      </w:r>
      <w:r w:rsidRPr="001D17A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измена подзаконских аката, </w:t>
      </w:r>
      <w:r w:rsidRPr="00CE5DD1">
        <w:rPr>
          <w:rFonts w:ascii="Times New Roman" w:eastAsia="Times New Roman" w:hAnsi="Times New Roman" w:cs="Times New Roman"/>
          <w:sz w:val="24"/>
          <w:szCs w:val="24"/>
          <w:lang w:val="sr-Cyrl-RS"/>
        </w:rPr>
        <w:t>аката „меког</w:t>
      </w:r>
      <w:r w:rsidR="00013AD3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CE5D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права</w:t>
      </w:r>
      <w:r w:rsidR="00CE5DD1" w:rsidRPr="00CE5D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добровољне </w:t>
      </w:r>
      <w:r w:rsidRPr="001D17A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делимичне дигитализације, </w:t>
      </w:r>
      <w:r w:rsidR="00CE5DD1" w:rsidRPr="00CE5D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као и задржавања постојећег стања, </w:t>
      </w:r>
      <w:r w:rsidRPr="001D17AA">
        <w:rPr>
          <w:rFonts w:ascii="Times New Roman" w:eastAsia="Times New Roman" w:hAnsi="Times New Roman" w:cs="Times New Roman"/>
          <w:sz w:val="24"/>
          <w:szCs w:val="24"/>
          <w:lang w:val="sr-Cyrl-RS"/>
        </w:rPr>
        <w:t>не обезбеђују потребну обавезност, једнаку примену, надзор</w:t>
      </w:r>
      <w:r w:rsidR="00CE5DD1" w:rsidRPr="00CE5D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заштиту података на потребном нивоу </w:t>
      </w:r>
      <w:r w:rsidRPr="001D17AA">
        <w:rPr>
          <w:rFonts w:ascii="Times New Roman" w:eastAsia="Times New Roman" w:hAnsi="Times New Roman" w:cs="Times New Roman"/>
          <w:sz w:val="24"/>
          <w:szCs w:val="24"/>
          <w:lang w:val="sr-Cyrl-RS"/>
        </w:rPr>
        <w:t>и санкци</w:t>
      </w:r>
      <w:r w:rsidR="00CE5DD1" w:rsidRPr="00CE5DD1">
        <w:rPr>
          <w:rFonts w:ascii="Times New Roman" w:eastAsia="Times New Roman" w:hAnsi="Times New Roman" w:cs="Times New Roman"/>
          <w:sz w:val="24"/>
          <w:szCs w:val="24"/>
          <w:lang w:val="sr-Cyrl-RS"/>
        </w:rPr>
        <w:t>је за непридржавање обавеза</w:t>
      </w:r>
      <w:r w:rsidRPr="001D17AA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CE5DD1" w:rsidRPr="00CE5D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наставку, даје се табеларни преглед</w:t>
      </w:r>
      <w:r w:rsidR="00CE5D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разматраних опција</w:t>
      </w:r>
      <w:r w:rsidR="001B495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1B495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</w:t>
      </w:r>
      <w:r w:rsidR="001B495B" w:rsidRPr="00647D3A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постизање утврђеног циља</w:t>
      </w:r>
      <w:r w:rsidR="00F54C03" w:rsidRPr="00647D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="001B495B" w:rsidRPr="00647D3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F54C03" w:rsidRPr="00647D3A">
        <w:rPr>
          <w:rFonts w:ascii="Times New Roman" w:eastAsia="Times New Roman" w:hAnsi="Times New Roman" w:cs="Times New Roman"/>
          <w:sz w:val="24"/>
          <w:szCs w:val="24"/>
          <w:lang w:val="sr-Cyrl-RS"/>
        </w:rPr>
        <w:t>критеријума за избор најбоље опције</w:t>
      </w:r>
      <w:r w:rsidR="00CE5DD1" w:rsidRPr="00647D3A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20773244" w14:textId="48815469" w:rsidR="001B495B" w:rsidRPr="001D17AA" w:rsidRDefault="001B495B" w:rsidP="001B49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647D3A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Табела</w:t>
      </w:r>
      <w:r w:rsidR="00647D3A" w:rsidRPr="00647D3A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3</w:t>
      </w:r>
      <w:r w:rsidRPr="00647D3A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: Прегл</w:t>
      </w:r>
      <w:r w:rsidRPr="001B495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ед разматраних опција за постизање утврђеног циља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6"/>
        <w:gridCol w:w="3089"/>
        <w:gridCol w:w="3685"/>
      </w:tblGrid>
      <w:tr w:rsidR="00355BAA" w:rsidRPr="00F4263E" w14:paraId="4AD6C5A1" w14:textId="77777777" w:rsidTr="00355BAA">
        <w:tc>
          <w:tcPr>
            <w:tcW w:w="0" w:type="auto"/>
            <w:hideMark/>
          </w:tcPr>
          <w:p w14:paraId="33591D2F" w14:textId="77777777" w:rsidR="00F4263E" w:rsidRPr="00F4263E" w:rsidRDefault="00F4263E" w:rsidP="00F0351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42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Опција</w:t>
            </w:r>
          </w:p>
        </w:tc>
        <w:tc>
          <w:tcPr>
            <w:tcW w:w="3089" w:type="dxa"/>
            <w:hideMark/>
          </w:tcPr>
          <w:p w14:paraId="7CC1721B" w14:textId="77777777" w:rsidR="00F4263E" w:rsidRPr="00F4263E" w:rsidRDefault="00F4263E" w:rsidP="00F0351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42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Опис</w:t>
            </w:r>
          </w:p>
        </w:tc>
        <w:tc>
          <w:tcPr>
            <w:tcW w:w="3685" w:type="dxa"/>
            <w:hideMark/>
          </w:tcPr>
          <w:p w14:paraId="24437470" w14:textId="083783FD" w:rsidR="00F4263E" w:rsidRPr="00F54C03" w:rsidRDefault="00F4263E" w:rsidP="00F0351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F42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Разлог </w:t>
            </w:r>
            <w:r w:rsidR="00F54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зашто се </w:t>
            </w:r>
            <w:r w:rsidR="00355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не</w:t>
            </w:r>
            <w:r w:rsidR="00F54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355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прихват</w:t>
            </w:r>
            <w:r w:rsidR="00F54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</w:p>
        </w:tc>
      </w:tr>
      <w:tr w:rsidR="00355BAA" w:rsidRPr="00F4263E" w14:paraId="10629B7D" w14:textId="77777777" w:rsidTr="00355BAA">
        <w:tc>
          <w:tcPr>
            <w:tcW w:w="0" w:type="auto"/>
            <w:hideMark/>
          </w:tcPr>
          <w:p w14:paraId="2C687C45" w14:textId="77777777" w:rsidR="00F4263E" w:rsidRPr="00355BAA" w:rsidRDefault="00F4263E" w:rsidP="00F0351D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55B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RS"/>
              </w:rPr>
              <w:t>Status quo</w:t>
            </w:r>
          </w:p>
        </w:tc>
        <w:tc>
          <w:tcPr>
            <w:tcW w:w="3089" w:type="dxa"/>
            <w:hideMark/>
          </w:tcPr>
          <w:p w14:paraId="3F74212F" w14:textId="21DAB423" w:rsidR="00F4263E" w:rsidRPr="00F4263E" w:rsidRDefault="00F4263E" w:rsidP="00355B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Задржавање постојећег режима</w:t>
            </w:r>
            <w:r w:rsidR="00355BA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који се обавља у папиру</w:t>
            </w:r>
          </w:p>
        </w:tc>
        <w:tc>
          <w:tcPr>
            <w:tcW w:w="3685" w:type="dxa"/>
            <w:hideMark/>
          </w:tcPr>
          <w:p w14:paraId="6529D1CD" w14:textId="7A2C7564" w:rsidR="00F4263E" w:rsidRPr="00F4263E" w:rsidRDefault="00F4263E" w:rsidP="00355B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 решава проблеме</w:t>
            </w:r>
          </w:p>
        </w:tc>
      </w:tr>
      <w:tr w:rsidR="00355BAA" w:rsidRPr="00F4263E" w14:paraId="7033C1C0" w14:textId="77777777" w:rsidTr="00355BAA">
        <w:tc>
          <w:tcPr>
            <w:tcW w:w="0" w:type="auto"/>
            <w:hideMark/>
          </w:tcPr>
          <w:p w14:paraId="31F3C11C" w14:textId="77777777" w:rsidR="00F4263E" w:rsidRPr="00F4263E" w:rsidRDefault="00F4263E" w:rsidP="00355B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42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Добровољна дигитализација</w:t>
            </w:r>
          </w:p>
        </w:tc>
        <w:tc>
          <w:tcPr>
            <w:tcW w:w="3089" w:type="dxa"/>
            <w:hideMark/>
          </w:tcPr>
          <w:p w14:paraId="6F441993" w14:textId="77777777" w:rsidR="00F4263E" w:rsidRPr="00F4263E" w:rsidRDefault="00F4263E" w:rsidP="00355B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Препоруке и софтвер доступни, али без обавезе примене</w:t>
            </w:r>
          </w:p>
        </w:tc>
        <w:tc>
          <w:tcPr>
            <w:tcW w:w="3685" w:type="dxa"/>
            <w:hideMark/>
          </w:tcPr>
          <w:p w14:paraId="22960468" w14:textId="5016F22E" w:rsidR="00F4263E" w:rsidRPr="00F4263E" w:rsidRDefault="00F4263E" w:rsidP="00355B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Недовољна покривеност</w:t>
            </w:r>
            <w:r w:rsidR="00355BA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примена</w:t>
            </w:r>
            <w:r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правна несигурност, неједнака пракса</w:t>
            </w:r>
          </w:p>
        </w:tc>
      </w:tr>
      <w:tr w:rsidR="00355BAA" w:rsidRPr="00F4263E" w14:paraId="6F36ADA6" w14:textId="77777777" w:rsidTr="00355BAA">
        <w:tc>
          <w:tcPr>
            <w:tcW w:w="0" w:type="auto"/>
            <w:hideMark/>
          </w:tcPr>
          <w:p w14:paraId="0C9CD6E4" w14:textId="77777777" w:rsidR="00F4263E" w:rsidRPr="00F4263E" w:rsidRDefault="00F4263E" w:rsidP="00355B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42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Делимична дигитализација</w:t>
            </w:r>
          </w:p>
        </w:tc>
        <w:tc>
          <w:tcPr>
            <w:tcW w:w="3089" w:type="dxa"/>
            <w:hideMark/>
          </w:tcPr>
          <w:p w14:paraId="77ECB148" w14:textId="77777777" w:rsidR="00F4263E" w:rsidRPr="00F4263E" w:rsidRDefault="00F4263E" w:rsidP="00355B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Електронска размена само за велике системе или одређене делатности</w:t>
            </w:r>
          </w:p>
        </w:tc>
        <w:tc>
          <w:tcPr>
            <w:tcW w:w="3685" w:type="dxa"/>
            <w:hideMark/>
          </w:tcPr>
          <w:p w14:paraId="4E5A09CC" w14:textId="3C5D4824" w:rsidR="00F4263E" w:rsidRPr="00F4263E" w:rsidRDefault="00355BAA" w:rsidP="00355B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Недовољна покривеност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примена</w:t>
            </w:r>
            <w:r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правна несигурност, неједнака пракса</w:t>
            </w:r>
          </w:p>
        </w:tc>
      </w:tr>
      <w:tr w:rsidR="00355BAA" w:rsidRPr="00F4263E" w14:paraId="05F459A2" w14:textId="77777777" w:rsidTr="00355BAA">
        <w:tc>
          <w:tcPr>
            <w:tcW w:w="0" w:type="auto"/>
            <w:hideMark/>
          </w:tcPr>
          <w:p w14:paraId="1FB0B1A4" w14:textId="436197B1" w:rsidR="00F4263E" w:rsidRPr="00F4263E" w:rsidRDefault="00355BAA" w:rsidP="00355B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Акти „меког</w:t>
            </w:r>
            <w:r w:rsidR="0001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”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права (у</w:t>
            </w:r>
            <w:r w:rsidR="00F4263E" w:rsidRPr="00F42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путство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F4263E" w:rsidRPr="00F42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приручник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сл.)</w:t>
            </w:r>
          </w:p>
        </w:tc>
        <w:tc>
          <w:tcPr>
            <w:tcW w:w="3089" w:type="dxa"/>
            <w:hideMark/>
          </w:tcPr>
          <w:p w14:paraId="589BAFA0" w14:textId="1802B747" w:rsidR="00F4263E" w:rsidRPr="00F4263E" w:rsidRDefault="00F4263E" w:rsidP="00355B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Административно усмеравање без </w:t>
            </w:r>
            <w:r w:rsidR="00355BA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уређења новим прописом</w:t>
            </w:r>
          </w:p>
        </w:tc>
        <w:tc>
          <w:tcPr>
            <w:tcW w:w="3685" w:type="dxa"/>
            <w:hideMark/>
          </w:tcPr>
          <w:p w14:paraId="67AD7F2A" w14:textId="4FBB1297" w:rsidR="00F4263E" w:rsidRPr="00F4263E" w:rsidRDefault="00355BAA" w:rsidP="00355B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Недовољна покривеност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примена</w:t>
            </w:r>
            <w:r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правна несигурност, неједнака пракса</w:t>
            </w:r>
          </w:p>
        </w:tc>
      </w:tr>
      <w:tr w:rsidR="00355BAA" w:rsidRPr="00F4263E" w14:paraId="3C6A169A" w14:textId="77777777" w:rsidTr="0061027B">
        <w:trPr>
          <w:trHeight w:val="1555"/>
        </w:trPr>
        <w:tc>
          <w:tcPr>
            <w:tcW w:w="0" w:type="auto"/>
            <w:hideMark/>
          </w:tcPr>
          <w:p w14:paraId="0A1F5A7F" w14:textId="01AC832D" w:rsidR="00F4263E" w:rsidRPr="00F4263E" w:rsidRDefault="00F4263E" w:rsidP="00355B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42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Промена подзаконских </w:t>
            </w:r>
            <w:r w:rsidR="003E6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пропис</w:t>
            </w:r>
            <w:r w:rsidRPr="00F42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а без </w:t>
            </w:r>
            <w:r w:rsidR="00355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доношења </w:t>
            </w:r>
            <w:r w:rsidRPr="00F42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закона</w:t>
            </w:r>
          </w:p>
        </w:tc>
        <w:tc>
          <w:tcPr>
            <w:tcW w:w="3089" w:type="dxa"/>
            <w:hideMark/>
          </w:tcPr>
          <w:p w14:paraId="6FDF67EA" w14:textId="3FC1C173" w:rsidR="00F4263E" w:rsidRPr="00F4263E" w:rsidRDefault="00F4263E" w:rsidP="00355B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Измене правилника </w:t>
            </w:r>
            <w:r w:rsidR="00355BAA"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 интерних упутстава </w:t>
            </w:r>
            <w:r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РФЗО </w:t>
            </w:r>
          </w:p>
        </w:tc>
        <w:tc>
          <w:tcPr>
            <w:tcW w:w="3685" w:type="dxa"/>
            <w:hideMark/>
          </w:tcPr>
          <w:p w14:paraId="68A27B89" w14:textId="48038131" w:rsidR="00F4263E" w:rsidRPr="00F4263E" w:rsidRDefault="00355BAA" w:rsidP="00355B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Недовољна покривеност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примена</w:t>
            </w:r>
            <w:r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правна несигурност, неједнака пракса</w:t>
            </w:r>
            <w:r w:rsidR="00F4263E" w:rsidRPr="00F4263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не обавезује послодавце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– неопходан је законски основ</w:t>
            </w:r>
          </w:p>
        </w:tc>
      </w:tr>
    </w:tbl>
    <w:p w14:paraId="276FE235" w14:textId="5FFF239A" w:rsidR="00CE5DD1" w:rsidRDefault="00CE5DD1" w:rsidP="00F54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89F4BD" w14:textId="77777777" w:rsidR="0061027B" w:rsidRDefault="0061027B" w:rsidP="000775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3764EC6C" w14:textId="77777777" w:rsidR="0061027B" w:rsidRDefault="0061027B" w:rsidP="000775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57B063FB" w14:textId="77777777" w:rsidR="0061027B" w:rsidRDefault="0061027B" w:rsidP="000775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69768FCA" w14:textId="4E08AAF4" w:rsidR="0061027B" w:rsidRDefault="0061027B" w:rsidP="000775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3D932F67" w14:textId="77777777" w:rsidR="00F4373D" w:rsidRDefault="00F4373D" w:rsidP="000775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1353E715" w14:textId="0477293B" w:rsidR="00F54C03" w:rsidRPr="001B495B" w:rsidRDefault="001B495B" w:rsidP="000775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6C06B8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Табела</w:t>
      </w:r>
      <w:r w:rsidR="006C06B8" w:rsidRPr="006C06B8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4</w:t>
      </w:r>
      <w:r w:rsidRPr="006C06B8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: Преглед критеријума</w:t>
      </w:r>
      <w:r w:rsidRPr="001B495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за избор најбоље опције</w:t>
      </w:r>
    </w:p>
    <w:tbl>
      <w:tblPr>
        <w:tblStyle w:val="TableGrid"/>
        <w:tblW w:w="10632" w:type="dxa"/>
        <w:tblInd w:w="-431" w:type="dxa"/>
        <w:tblLook w:val="04A0" w:firstRow="1" w:lastRow="0" w:firstColumn="1" w:lastColumn="0" w:noHBand="0" w:noVBand="1"/>
      </w:tblPr>
      <w:tblGrid>
        <w:gridCol w:w="2378"/>
        <w:gridCol w:w="996"/>
        <w:gridCol w:w="1785"/>
        <w:gridCol w:w="1785"/>
        <w:gridCol w:w="1021"/>
        <w:gridCol w:w="1588"/>
        <w:gridCol w:w="1079"/>
      </w:tblGrid>
      <w:tr w:rsidR="00B411C9" w:rsidRPr="00CE5DD1" w14:paraId="13DF60F1" w14:textId="77777777" w:rsidTr="00B411C9">
        <w:tc>
          <w:tcPr>
            <w:tcW w:w="2411" w:type="dxa"/>
            <w:hideMark/>
          </w:tcPr>
          <w:p w14:paraId="091865A5" w14:textId="77777777" w:rsidR="00CE5DD1" w:rsidRPr="00CE5DD1" w:rsidRDefault="00CE5DD1" w:rsidP="00CE5D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CE5DD1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Критеријум</w:t>
            </w:r>
          </w:p>
        </w:tc>
        <w:tc>
          <w:tcPr>
            <w:tcW w:w="1035" w:type="dxa"/>
            <w:hideMark/>
          </w:tcPr>
          <w:p w14:paraId="080016C7" w14:textId="77777777" w:rsidR="00CE5DD1" w:rsidRPr="00CE5DD1" w:rsidRDefault="00CE5DD1" w:rsidP="00CE5D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CE5DD1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Status quo</w:t>
            </w:r>
          </w:p>
        </w:tc>
        <w:tc>
          <w:tcPr>
            <w:tcW w:w="0" w:type="auto"/>
            <w:hideMark/>
          </w:tcPr>
          <w:p w14:paraId="06768DBD" w14:textId="77777777" w:rsidR="00CE5DD1" w:rsidRPr="00CE5DD1" w:rsidRDefault="00CE5DD1" w:rsidP="00CE5D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CE5DD1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Добровољна дигитализација</w:t>
            </w:r>
          </w:p>
        </w:tc>
        <w:tc>
          <w:tcPr>
            <w:tcW w:w="0" w:type="auto"/>
            <w:hideMark/>
          </w:tcPr>
          <w:p w14:paraId="0D283D0B" w14:textId="77777777" w:rsidR="00CE5DD1" w:rsidRPr="00CE5DD1" w:rsidRDefault="00CE5DD1" w:rsidP="00CE5D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CE5DD1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Делимична дигитализација</w:t>
            </w:r>
          </w:p>
        </w:tc>
        <w:tc>
          <w:tcPr>
            <w:tcW w:w="1065" w:type="dxa"/>
            <w:hideMark/>
          </w:tcPr>
          <w:p w14:paraId="5BBA7702" w14:textId="77777777" w:rsidR="00CE5DD1" w:rsidRPr="00CE5DD1" w:rsidRDefault="00CE5DD1" w:rsidP="00CE5D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CE5DD1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Меко право</w:t>
            </w:r>
          </w:p>
        </w:tc>
        <w:tc>
          <w:tcPr>
            <w:tcW w:w="1417" w:type="dxa"/>
            <w:hideMark/>
          </w:tcPr>
          <w:p w14:paraId="1B74616B" w14:textId="2338B27C" w:rsidR="00CE5DD1" w:rsidRPr="00CE5DD1" w:rsidRDefault="00B411C9" w:rsidP="00CE5D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Про</w:t>
            </w:r>
            <w:r w:rsidR="00CE5DD1" w:rsidRPr="00CE5DD1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мен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</w:t>
            </w:r>
            <w:r w:rsidR="00CE5DD1" w:rsidRPr="00CE5DD1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подзаконских 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прописа</w:t>
            </w:r>
          </w:p>
        </w:tc>
        <w:tc>
          <w:tcPr>
            <w:tcW w:w="1134" w:type="dxa"/>
            <w:hideMark/>
          </w:tcPr>
          <w:p w14:paraId="5ACA099B" w14:textId="00D500D0" w:rsidR="00CE5DD1" w:rsidRPr="00CE5DD1" w:rsidRDefault="00CE5DD1" w:rsidP="00CE5D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CE5DD1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Закон</w:t>
            </w:r>
          </w:p>
        </w:tc>
      </w:tr>
      <w:tr w:rsidR="00B411C9" w:rsidRPr="00CE5DD1" w14:paraId="27138335" w14:textId="77777777" w:rsidTr="006C06B8">
        <w:trPr>
          <w:trHeight w:val="417"/>
        </w:trPr>
        <w:tc>
          <w:tcPr>
            <w:tcW w:w="2411" w:type="dxa"/>
            <w:hideMark/>
          </w:tcPr>
          <w:p w14:paraId="7B96CB06" w14:textId="77777777" w:rsidR="00B411C9" w:rsidRPr="00CE5DD1" w:rsidRDefault="00B411C9" w:rsidP="00B411C9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CE5DD1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Правна сигурност</w:t>
            </w:r>
          </w:p>
        </w:tc>
        <w:tc>
          <w:tcPr>
            <w:tcW w:w="1035" w:type="dxa"/>
            <w:hideMark/>
          </w:tcPr>
          <w:p w14:paraId="62F79E56" w14:textId="12845352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0" w:type="auto"/>
            <w:hideMark/>
          </w:tcPr>
          <w:p w14:paraId="50823E81" w14:textId="695A4EAF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0" w:type="auto"/>
            <w:hideMark/>
          </w:tcPr>
          <w:p w14:paraId="2FA4BEF8" w14:textId="6C6DCE1D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1065" w:type="dxa"/>
            <w:hideMark/>
          </w:tcPr>
          <w:p w14:paraId="5E3EFD58" w14:textId="2076BBAC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1417" w:type="dxa"/>
            <w:hideMark/>
          </w:tcPr>
          <w:p w14:paraId="3189FD39" w14:textId="2BA2375F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1134" w:type="dxa"/>
            <w:hideMark/>
          </w:tcPr>
          <w:p w14:paraId="15C44EE6" w14:textId="18DDE0DF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B520C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Да</w:t>
            </w:r>
          </w:p>
        </w:tc>
      </w:tr>
      <w:tr w:rsidR="00B411C9" w:rsidRPr="00CE5DD1" w14:paraId="0C7BB299" w14:textId="77777777" w:rsidTr="006C06B8">
        <w:trPr>
          <w:trHeight w:val="409"/>
        </w:trPr>
        <w:tc>
          <w:tcPr>
            <w:tcW w:w="2411" w:type="dxa"/>
            <w:hideMark/>
          </w:tcPr>
          <w:p w14:paraId="329D3DD4" w14:textId="4ABB9F7A" w:rsidR="00B411C9" w:rsidRPr="00CE5DD1" w:rsidRDefault="00B411C9" w:rsidP="00B411C9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Јединстве</w:t>
            </w:r>
            <w:r w:rsidRPr="00CE5DD1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на примена</w:t>
            </w:r>
          </w:p>
        </w:tc>
        <w:tc>
          <w:tcPr>
            <w:tcW w:w="1035" w:type="dxa"/>
            <w:hideMark/>
          </w:tcPr>
          <w:p w14:paraId="5559C2FC" w14:textId="6F6FEEFC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0" w:type="auto"/>
            <w:hideMark/>
          </w:tcPr>
          <w:p w14:paraId="6F9A16A2" w14:textId="4F54F5AA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0" w:type="auto"/>
            <w:hideMark/>
          </w:tcPr>
          <w:p w14:paraId="056343EF" w14:textId="67012F5B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1065" w:type="dxa"/>
            <w:hideMark/>
          </w:tcPr>
          <w:p w14:paraId="4C31DDB2" w14:textId="5D9F5209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1417" w:type="dxa"/>
            <w:hideMark/>
          </w:tcPr>
          <w:p w14:paraId="3012E682" w14:textId="039E445E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1134" w:type="dxa"/>
            <w:hideMark/>
          </w:tcPr>
          <w:p w14:paraId="6021D1D5" w14:textId="5769F130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B520C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Да</w:t>
            </w:r>
          </w:p>
        </w:tc>
      </w:tr>
      <w:tr w:rsidR="00B411C9" w:rsidRPr="00CE5DD1" w14:paraId="154891AD" w14:textId="77777777" w:rsidTr="006C06B8">
        <w:trPr>
          <w:trHeight w:val="699"/>
        </w:trPr>
        <w:tc>
          <w:tcPr>
            <w:tcW w:w="2411" w:type="dxa"/>
            <w:hideMark/>
          </w:tcPr>
          <w:p w14:paraId="007F3F60" w14:textId="5ADEDE8B" w:rsidR="00B411C9" w:rsidRPr="00CE5DD1" w:rsidRDefault="00B411C9" w:rsidP="00B411C9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CE5DD1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Покривеност 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учесника</w:t>
            </w:r>
          </w:p>
        </w:tc>
        <w:tc>
          <w:tcPr>
            <w:tcW w:w="1035" w:type="dxa"/>
            <w:hideMark/>
          </w:tcPr>
          <w:p w14:paraId="2CAEE44C" w14:textId="37EAFAAB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0" w:type="auto"/>
            <w:hideMark/>
          </w:tcPr>
          <w:p w14:paraId="4C7907B5" w14:textId="758FC7E8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0" w:type="auto"/>
            <w:hideMark/>
          </w:tcPr>
          <w:p w14:paraId="5A2996C3" w14:textId="36217656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1065" w:type="dxa"/>
            <w:hideMark/>
          </w:tcPr>
          <w:p w14:paraId="08899D7F" w14:textId="62831245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1417" w:type="dxa"/>
            <w:hideMark/>
          </w:tcPr>
          <w:p w14:paraId="226BBEC5" w14:textId="738F72AB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1134" w:type="dxa"/>
            <w:hideMark/>
          </w:tcPr>
          <w:p w14:paraId="1A8256CC" w14:textId="15A9301C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B520C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Да</w:t>
            </w:r>
          </w:p>
        </w:tc>
      </w:tr>
      <w:tr w:rsidR="00B411C9" w:rsidRPr="00CE5DD1" w14:paraId="4D0AEED4" w14:textId="77777777" w:rsidTr="006C06B8">
        <w:trPr>
          <w:trHeight w:val="361"/>
        </w:trPr>
        <w:tc>
          <w:tcPr>
            <w:tcW w:w="2411" w:type="dxa"/>
            <w:hideMark/>
          </w:tcPr>
          <w:p w14:paraId="1C094ADA" w14:textId="77777777" w:rsidR="00B411C9" w:rsidRPr="00CE5DD1" w:rsidRDefault="00B411C9" w:rsidP="00B411C9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CE5DD1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Ефикасност и уштеде</w:t>
            </w:r>
          </w:p>
        </w:tc>
        <w:tc>
          <w:tcPr>
            <w:tcW w:w="1035" w:type="dxa"/>
            <w:hideMark/>
          </w:tcPr>
          <w:p w14:paraId="2B895F18" w14:textId="168B0A08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0" w:type="auto"/>
            <w:hideMark/>
          </w:tcPr>
          <w:p w14:paraId="5011E3A6" w14:textId="3842E06B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0" w:type="auto"/>
            <w:hideMark/>
          </w:tcPr>
          <w:p w14:paraId="59573F87" w14:textId="010F8682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1065" w:type="dxa"/>
            <w:hideMark/>
          </w:tcPr>
          <w:p w14:paraId="032D1149" w14:textId="1383539F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1417" w:type="dxa"/>
            <w:hideMark/>
          </w:tcPr>
          <w:p w14:paraId="72FCDEEE" w14:textId="5053CDE0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1134" w:type="dxa"/>
            <w:hideMark/>
          </w:tcPr>
          <w:p w14:paraId="6A014041" w14:textId="3005CB04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B520C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Да</w:t>
            </w:r>
          </w:p>
        </w:tc>
      </w:tr>
      <w:tr w:rsidR="00B411C9" w:rsidRPr="00CE5DD1" w14:paraId="08BF0916" w14:textId="77777777" w:rsidTr="006C06B8">
        <w:trPr>
          <w:trHeight w:val="317"/>
        </w:trPr>
        <w:tc>
          <w:tcPr>
            <w:tcW w:w="2411" w:type="dxa"/>
            <w:hideMark/>
          </w:tcPr>
          <w:p w14:paraId="37792677" w14:textId="2F69024F" w:rsidR="00B411C9" w:rsidRPr="00CE5DD1" w:rsidRDefault="00B411C9" w:rsidP="00B411C9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С</w:t>
            </w:r>
            <w:r w:rsidRPr="00CE5DD1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анкци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је</w:t>
            </w:r>
          </w:p>
        </w:tc>
        <w:tc>
          <w:tcPr>
            <w:tcW w:w="1035" w:type="dxa"/>
            <w:hideMark/>
          </w:tcPr>
          <w:p w14:paraId="3DC568D7" w14:textId="52A19DB1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0" w:type="auto"/>
            <w:hideMark/>
          </w:tcPr>
          <w:p w14:paraId="5953D021" w14:textId="6DF3DB17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0" w:type="auto"/>
            <w:hideMark/>
          </w:tcPr>
          <w:p w14:paraId="7F645B86" w14:textId="0046A887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1065" w:type="dxa"/>
            <w:hideMark/>
          </w:tcPr>
          <w:p w14:paraId="48182634" w14:textId="167A8F54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1417" w:type="dxa"/>
            <w:hideMark/>
          </w:tcPr>
          <w:p w14:paraId="617E82EA" w14:textId="41ED642B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1134" w:type="dxa"/>
            <w:hideMark/>
          </w:tcPr>
          <w:p w14:paraId="4D7125AC" w14:textId="5D4A667F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B520C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Да</w:t>
            </w:r>
          </w:p>
        </w:tc>
      </w:tr>
      <w:tr w:rsidR="00B411C9" w:rsidRPr="00CE5DD1" w14:paraId="4D04A29A" w14:textId="77777777" w:rsidTr="006C06B8">
        <w:trPr>
          <w:trHeight w:val="860"/>
        </w:trPr>
        <w:tc>
          <w:tcPr>
            <w:tcW w:w="2411" w:type="dxa"/>
            <w:hideMark/>
          </w:tcPr>
          <w:p w14:paraId="23CC3D0D" w14:textId="7410196F" w:rsidR="00B411C9" w:rsidRPr="00CE5DD1" w:rsidRDefault="00B411C9" w:rsidP="00B411C9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CE5DD1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Подршка дигитализацији </w:t>
            </w:r>
            <w:r w:rsidR="006C06B8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и модернизацији </w:t>
            </w:r>
            <w:r w:rsidRPr="00CE5DD1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јавне управе</w:t>
            </w:r>
          </w:p>
        </w:tc>
        <w:tc>
          <w:tcPr>
            <w:tcW w:w="1035" w:type="dxa"/>
            <w:hideMark/>
          </w:tcPr>
          <w:p w14:paraId="6D4EEE11" w14:textId="2436E9B8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0" w:type="auto"/>
            <w:hideMark/>
          </w:tcPr>
          <w:p w14:paraId="080FF3EC" w14:textId="66933A23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0" w:type="auto"/>
            <w:hideMark/>
          </w:tcPr>
          <w:p w14:paraId="670D4E05" w14:textId="11B6ABF6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1065" w:type="dxa"/>
            <w:hideMark/>
          </w:tcPr>
          <w:p w14:paraId="0476F2E2" w14:textId="0661D552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1417" w:type="dxa"/>
            <w:hideMark/>
          </w:tcPr>
          <w:p w14:paraId="62506C24" w14:textId="72E167DC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1134" w:type="dxa"/>
            <w:hideMark/>
          </w:tcPr>
          <w:p w14:paraId="42518914" w14:textId="796EE9C5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B520C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Да</w:t>
            </w:r>
          </w:p>
        </w:tc>
      </w:tr>
      <w:tr w:rsidR="00B411C9" w:rsidRPr="00CE5DD1" w14:paraId="3581D747" w14:textId="77777777" w:rsidTr="00B411C9">
        <w:tc>
          <w:tcPr>
            <w:tcW w:w="2411" w:type="dxa"/>
            <w:hideMark/>
          </w:tcPr>
          <w:p w14:paraId="45DEBBB9" w14:textId="77777777" w:rsidR="00B411C9" w:rsidRPr="00CE5DD1" w:rsidRDefault="00B411C9" w:rsidP="00B411C9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CE5DD1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Интероперабилност система</w:t>
            </w:r>
          </w:p>
        </w:tc>
        <w:tc>
          <w:tcPr>
            <w:tcW w:w="1035" w:type="dxa"/>
            <w:hideMark/>
          </w:tcPr>
          <w:p w14:paraId="0CD47084" w14:textId="76C0057D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0" w:type="auto"/>
            <w:hideMark/>
          </w:tcPr>
          <w:p w14:paraId="4CED364B" w14:textId="0393827E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0" w:type="auto"/>
            <w:hideMark/>
          </w:tcPr>
          <w:p w14:paraId="4348B9E1" w14:textId="596D1C70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1065" w:type="dxa"/>
            <w:hideMark/>
          </w:tcPr>
          <w:p w14:paraId="580FD663" w14:textId="1C14FFF8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Не</w:t>
            </w:r>
          </w:p>
        </w:tc>
        <w:tc>
          <w:tcPr>
            <w:tcW w:w="1417" w:type="dxa"/>
            <w:hideMark/>
          </w:tcPr>
          <w:p w14:paraId="72A07226" w14:textId="05AF070B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B411C9">
              <w:rPr>
                <w:rFonts w:ascii="Times New Roman" w:eastAsia="Times New Roman" w:hAnsi="Times New Roman" w:cs="Times New Roman"/>
                <w:lang w:val="sr-Cyrl-RS"/>
              </w:rPr>
              <w:t>Да/Не</w:t>
            </w:r>
          </w:p>
        </w:tc>
        <w:tc>
          <w:tcPr>
            <w:tcW w:w="1134" w:type="dxa"/>
            <w:hideMark/>
          </w:tcPr>
          <w:p w14:paraId="10480203" w14:textId="4EDB645A" w:rsidR="00B411C9" w:rsidRPr="00CE5DD1" w:rsidRDefault="00B411C9" w:rsidP="00104A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B520C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Да</w:t>
            </w:r>
          </w:p>
        </w:tc>
      </w:tr>
    </w:tbl>
    <w:p w14:paraId="4DEF26B6" w14:textId="77777777" w:rsidR="00CE5DD1" w:rsidRDefault="00CE5DD1" w:rsidP="00CE5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121FA3" w14:textId="6AACECC1" w:rsidR="00A42C41" w:rsidRDefault="00A42C41" w:rsidP="00CE5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 изложеног произлази да је доношење овог закона најефикасније и најделотворније решење, будући да з</w:t>
      </w:r>
      <w:r w:rsidRPr="00A42C41">
        <w:rPr>
          <w:rFonts w:ascii="Times New Roman" w:hAnsi="Times New Roman" w:cs="Times New Roman"/>
          <w:sz w:val="24"/>
          <w:szCs w:val="24"/>
          <w:lang w:val="sr-Cyrl-RS"/>
        </w:rPr>
        <w:t xml:space="preserve">аконско уређење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ове материје </w:t>
      </w:r>
      <w:r w:rsidRPr="00A42C41">
        <w:rPr>
          <w:rFonts w:ascii="Times New Roman" w:hAnsi="Times New Roman" w:cs="Times New Roman"/>
          <w:sz w:val="24"/>
          <w:szCs w:val="24"/>
          <w:lang w:val="sr-Cyrl-RS"/>
        </w:rPr>
        <w:t>омогућава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Pr="00A42C41">
        <w:rPr>
          <w:rFonts w:ascii="Times New Roman" w:hAnsi="Times New Roman" w:cs="Times New Roman"/>
          <w:sz w:val="24"/>
          <w:szCs w:val="24"/>
          <w:lang w:val="sr-Cyrl-RS"/>
        </w:rPr>
        <w:t>бавезујући и свеобухватан приступ,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јасно </w:t>
      </w:r>
      <w:r w:rsidRPr="00A42C41">
        <w:rPr>
          <w:rFonts w:ascii="Times New Roman" w:hAnsi="Times New Roman" w:cs="Times New Roman"/>
          <w:sz w:val="24"/>
          <w:szCs w:val="24"/>
          <w:lang w:val="sr-Cyrl-RS"/>
        </w:rPr>
        <w:t>уређење улога</w:t>
      </w:r>
      <w:r>
        <w:rPr>
          <w:rFonts w:ascii="Times New Roman" w:hAnsi="Times New Roman" w:cs="Times New Roman"/>
          <w:sz w:val="24"/>
          <w:szCs w:val="24"/>
          <w:lang w:val="sr-Cyrl-RS"/>
        </w:rPr>
        <w:t>, одговорности</w:t>
      </w:r>
      <w:r w:rsidRPr="00A42C41">
        <w:rPr>
          <w:rFonts w:ascii="Times New Roman" w:hAnsi="Times New Roman" w:cs="Times New Roman"/>
          <w:sz w:val="24"/>
          <w:szCs w:val="24"/>
          <w:lang w:val="sr-Cyrl-RS"/>
        </w:rPr>
        <w:t xml:space="preserve"> и поступака,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</w:t>
      </w:r>
      <w:r w:rsidRPr="00A42C41">
        <w:rPr>
          <w:rFonts w:ascii="Times New Roman" w:hAnsi="Times New Roman" w:cs="Times New Roman"/>
          <w:sz w:val="24"/>
          <w:szCs w:val="24"/>
          <w:lang w:val="sr-Cyrl-RS"/>
        </w:rPr>
        <w:t>тандардизацију размене података и техничку интероперабилност,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42C41">
        <w:rPr>
          <w:rFonts w:ascii="Times New Roman" w:hAnsi="Times New Roman" w:cs="Times New Roman"/>
          <w:sz w:val="24"/>
          <w:szCs w:val="24"/>
          <w:lang w:val="sr-Cyrl-RS"/>
        </w:rPr>
        <w:t>надзор и заштит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A42C41">
        <w:rPr>
          <w:rFonts w:ascii="Times New Roman" w:hAnsi="Times New Roman" w:cs="Times New Roman"/>
          <w:sz w:val="24"/>
          <w:szCs w:val="24"/>
          <w:lang w:val="sr-Cyrl-RS"/>
        </w:rPr>
        <w:t xml:space="preserve"> података,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као и о</w:t>
      </w:r>
      <w:r w:rsidRPr="00A42C41">
        <w:rPr>
          <w:rFonts w:ascii="Times New Roman" w:hAnsi="Times New Roman" w:cs="Times New Roman"/>
          <w:sz w:val="24"/>
          <w:szCs w:val="24"/>
          <w:lang w:val="sr-Cyrl-RS"/>
        </w:rPr>
        <w:t xml:space="preserve">снов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доноше</w:t>
      </w:r>
      <w:r w:rsidRPr="00A42C41">
        <w:rPr>
          <w:rFonts w:ascii="Times New Roman" w:hAnsi="Times New Roman" w:cs="Times New Roman"/>
          <w:sz w:val="24"/>
          <w:szCs w:val="24"/>
          <w:lang w:val="sr-Cyrl-RS"/>
        </w:rPr>
        <w:t xml:space="preserve">ње подзаконских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пропис</w:t>
      </w:r>
      <w:r w:rsidRPr="00A42C41">
        <w:rPr>
          <w:rFonts w:ascii="Times New Roman" w:hAnsi="Times New Roman" w:cs="Times New Roman"/>
          <w:sz w:val="24"/>
          <w:szCs w:val="24"/>
          <w:lang w:val="sr-Cyrl-RS"/>
        </w:rPr>
        <w:t>а и техничке документације.</w:t>
      </w:r>
    </w:p>
    <w:p w14:paraId="5481E4B0" w14:textId="77777777" w:rsidR="009E0DE4" w:rsidRPr="009E0DE4" w:rsidRDefault="009E0DE4" w:rsidP="00F0351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9E0DE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4. Анализа економских ефеката</w:t>
      </w:r>
    </w:p>
    <w:p w14:paraId="162F0D54" w14:textId="04FECEA7" w:rsidR="009E0DE4" w:rsidRPr="009E0DE4" w:rsidRDefault="003E6AD2" w:rsidP="00F0351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3E6AD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1) Да ли се предложеним решењима прописа уводи нови, укида или мења постојећи административни поступак и/или административни захтев за привредне субјекте и који су позитивни ефекти овог решења? Да ли предложена решења утичу на повећање или умањење административних трошкова и колико износи повећање или умањење административних трошкова које сноси привредни субјект?</w:t>
      </w:r>
    </w:p>
    <w:p w14:paraId="261F1DBE" w14:textId="23E805D1" w:rsidR="009E0DE4" w:rsidRPr="00B411C9" w:rsidRDefault="009E0DE4" w:rsidP="001654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Предложеним решењ</w:t>
      </w:r>
      <w:r w:rsidR="00B411C9">
        <w:rPr>
          <w:rFonts w:ascii="Times New Roman" w:eastAsia="Times New Roman" w:hAnsi="Times New Roman" w:cs="Times New Roman"/>
          <w:sz w:val="24"/>
          <w:szCs w:val="24"/>
          <w:lang w:val="sr-Cyrl-RS"/>
        </w:rPr>
        <w:t>има</w:t>
      </w:r>
      <w:r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уводи се </w:t>
      </w:r>
      <w:r w:rsidRPr="008A3574">
        <w:rPr>
          <w:rFonts w:ascii="Times New Roman" w:eastAsia="Times New Roman" w:hAnsi="Times New Roman" w:cs="Times New Roman"/>
          <w:sz w:val="24"/>
          <w:szCs w:val="24"/>
          <w:lang w:val="sr-Cyrl-RS"/>
        </w:rPr>
        <w:t>електронск</w:t>
      </w:r>
      <w:r w:rsidR="008A3574">
        <w:rPr>
          <w:rFonts w:ascii="Times New Roman" w:eastAsia="Times New Roman" w:hAnsi="Times New Roman" w:cs="Times New Roman"/>
          <w:sz w:val="24"/>
          <w:szCs w:val="24"/>
          <w:lang w:val="sr-Cyrl-RS"/>
        </w:rPr>
        <w:t>и административни поступак</w:t>
      </w:r>
      <w:r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као замена за постојећи административни </w:t>
      </w:r>
      <w:r w:rsidRPr="00B411C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поступак при подношењу и обради докумената о боловању, </w:t>
      </w:r>
      <w:r w:rsidR="00B411C9" w:rsidRPr="00B411C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који се одвија у папиру, </w:t>
      </w:r>
      <w:r w:rsidRPr="00B411C9">
        <w:rPr>
          <w:rFonts w:ascii="Times New Roman" w:eastAsia="Times New Roman" w:hAnsi="Times New Roman" w:cs="Times New Roman"/>
          <w:sz w:val="24"/>
          <w:szCs w:val="24"/>
          <w:lang w:val="sr-Cyrl-RS"/>
        </w:rPr>
        <w:t>што представља суштинску промену за привредне субјекте.</w:t>
      </w:r>
    </w:p>
    <w:p w14:paraId="6B838FC0" w14:textId="0EA7C682" w:rsidR="009E0DE4" w:rsidRPr="009E0DE4" w:rsidRDefault="009E0DE4" w:rsidP="001654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>Позитивни ефекти</w:t>
      </w:r>
      <w:r w:rsidR="00B411C9"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огледају се у у</w:t>
      </w:r>
      <w:r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>кидањ</w:t>
      </w:r>
      <w:r w:rsidR="00B411C9"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обавезе </w:t>
      </w:r>
      <w:r w:rsidR="00165426"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издавања докумената у папирном облику, њиховог </w:t>
      </w:r>
      <w:r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>физичког преузимања и доставе</w:t>
      </w:r>
      <w:r w:rsidR="00165426"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>, с</w:t>
      </w:r>
      <w:r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>краћењ</w:t>
      </w:r>
      <w:r w:rsidR="00165426"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времена и смањење интерних трошкова обраде</w:t>
      </w:r>
      <w:r w:rsidR="00165426"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>, с</w:t>
      </w:r>
      <w:r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>мањење грешака и непотпуности докумената</w:t>
      </w:r>
      <w:r w:rsidR="00165426"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као  и м</w:t>
      </w:r>
      <w:r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>огућност</w:t>
      </w:r>
      <w:r w:rsidR="00165426"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аутоматске обраде података</w:t>
      </w:r>
      <w:r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</w:t>
      </w:r>
      <w:r w:rsid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здравственом систему </w:t>
      </w:r>
      <w:r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нтерним </w:t>
      </w:r>
      <w:r w:rsid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информационим </w:t>
      </w:r>
      <w:r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>системима послодаваца.</w:t>
      </w:r>
    </w:p>
    <w:p w14:paraId="79365E9C" w14:textId="240BAD33" w:rsidR="009E0DE4" w:rsidRPr="009E0DE4" w:rsidRDefault="00165426" w:rsidP="00844B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65426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Применом нових законских решења</w:t>
      </w:r>
      <w:r w:rsidR="009E0DE4"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9E0DE4" w:rsidRPr="00844B3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укупни </w:t>
      </w:r>
      <w:r w:rsidR="009E0DE4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административни трошкови за привредне субјекте ће бити смањени. Степен умањења зависи од величине и аутоматизације </w:t>
      </w:r>
      <w:r w:rsidR="00F33954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процеса код </w:t>
      </w:r>
      <w:r w:rsidR="009E0DE4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послодавца, а процењено умањење износи између </w:t>
      </w:r>
      <w:r w:rsidR="00F33954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>45</w:t>
      </w:r>
      <w:r w:rsidR="009E0DE4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% и </w:t>
      </w:r>
      <w:r w:rsidR="00F33954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>80</w:t>
      </w:r>
      <w:r w:rsidR="009E0DE4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>% укупних годишњих административних трошкова повезаних са обрадом боловања, што укључује</w:t>
      </w:r>
      <w:r w:rsidR="00844B33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</w:t>
      </w:r>
      <w:r w:rsidR="009E0DE4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>штеде на трошковима доставе докумената</w:t>
      </w:r>
      <w:r w:rsidR="00844B33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9E0DE4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>радн</w:t>
      </w:r>
      <w:r w:rsidR="00844B33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9E0DE4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сна</w:t>
      </w:r>
      <w:r w:rsidR="00844B33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ге и времена, </w:t>
      </w:r>
      <w:r w:rsidR="00857D79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>интерне комуникације и провере статуса</w:t>
      </w:r>
      <w:r w:rsidR="009E0DE4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>, скенирањ</w:t>
      </w:r>
      <w:r w:rsidR="00844B33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9E0DE4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>, унос</w:t>
      </w:r>
      <w:r w:rsidR="00844B33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а, </w:t>
      </w:r>
      <w:r w:rsidR="009E0DE4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>складиштењ</w:t>
      </w:r>
      <w:r w:rsidR="00844B33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9E0DE4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844B33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архивирања </w:t>
      </w:r>
      <w:r w:rsidR="009E0DE4" w:rsidRPr="00857D79">
        <w:rPr>
          <w:rFonts w:ascii="Times New Roman" w:eastAsia="Times New Roman" w:hAnsi="Times New Roman" w:cs="Times New Roman"/>
          <w:sz w:val="24"/>
          <w:szCs w:val="24"/>
          <w:lang w:val="sr-Cyrl-RS"/>
        </w:rPr>
        <w:t>података.</w:t>
      </w:r>
    </w:p>
    <w:p w14:paraId="7CD387A2" w14:textId="6D2AEC37" w:rsidR="00BA0B69" w:rsidRPr="00877DFD" w:rsidRDefault="00877DFD" w:rsidP="00877DFD">
      <w:pPr>
        <w:pStyle w:val="NormalWeb"/>
        <w:jc w:val="both"/>
        <w:rPr>
          <w:lang w:val="sr-Cyrl-RS"/>
        </w:rPr>
      </w:pPr>
      <w:bookmarkStart w:id="2" w:name="_Hlk207018916"/>
      <w:r w:rsidRPr="00877DFD">
        <w:rPr>
          <w:lang w:val="sr-Cyrl-RS"/>
        </w:rPr>
        <w:t xml:space="preserve">Према подацима РФЗО, у систему обавезног здравственог осигурања има око 2,2 до 2,3 милиона осигураника који су у радном односу. Број пријава за привремену спреченост за рад </w:t>
      </w:r>
      <w:r w:rsidR="00857D79" w:rsidRPr="00857D79">
        <w:rPr>
          <w:lang w:val="sr-Cyrl-RS"/>
        </w:rPr>
        <w:t xml:space="preserve">у Републици Србији </w:t>
      </w:r>
      <w:r w:rsidRPr="00877DFD">
        <w:rPr>
          <w:lang w:val="sr-Cyrl-RS"/>
        </w:rPr>
        <w:t>износи између 110.000 и 150.000 појединачних случајева годишње, према подацима РФЗО и Института за јавно здравље „Батут</w:t>
      </w:r>
      <w:r w:rsidR="00013AD3">
        <w:rPr>
          <w:lang w:val="sr-Cyrl-RS"/>
        </w:rPr>
        <w:t>”</w:t>
      </w:r>
      <w:r w:rsidRPr="00877DFD">
        <w:rPr>
          <w:lang w:val="sr-Cyrl-RS"/>
        </w:rPr>
        <w:t>, односно 5,9% запослених, према подацима EUROSTAT-a. Пр</w:t>
      </w:r>
      <w:r>
        <w:rPr>
          <w:lang w:val="sr-Cyrl-RS"/>
        </w:rPr>
        <w:t>ема истим изворима, пр</w:t>
      </w:r>
      <w:r w:rsidRPr="00877DFD">
        <w:rPr>
          <w:lang w:val="sr-Cyrl-RS"/>
        </w:rPr>
        <w:t>осечно трајање боловања</w:t>
      </w:r>
      <w:r w:rsidR="006C06B8">
        <w:rPr>
          <w:lang w:val="sr-Cyrl-RS"/>
        </w:rPr>
        <w:t xml:space="preserve"> </w:t>
      </w:r>
      <w:r w:rsidRPr="00877DFD">
        <w:rPr>
          <w:lang w:val="sr-Cyrl-RS"/>
        </w:rPr>
        <w:t>је од 11 до 13 дана по појединачном случају. Тиме се добија укупно од 1</w:t>
      </w:r>
      <w:r w:rsidR="004600CD">
        <w:rPr>
          <w:lang w:val="sr-Cyrl-RS"/>
        </w:rPr>
        <w:t>,</w:t>
      </w:r>
      <w:r w:rsidRPr="00877DFD">
        <w:rPr>
          <w:lang w:val="sr-Cyrl-RS"/>
        </w:rPr>
        <w:t>4 до 1</w:t>
      </w:r>
      <w:r w:rsidR="004600CD">
        <w:rPr>
          <w:lang w:val="sr-Cyrl-RS"/>
        </w:rPr>
        <w:t>,</w:t>
      </w:r>
      <w:r w:rsidRPr="00877DFD">
        <w:rPr>
          <w:lang w:val="sr-Cyrl-RS"/>
        </w:rPr>
        <w:t>7 милиона дана боловања годишње.</w:t>
      </w:r>
    </w:p>
    <w:p w14:paraId="5F571A8C" w14:textId="77777777" w:rsidR="00FD7B7A" w:rsidRDefault="00857D79" w:rsidP="00FD7B7A">
      <w:pPr>
        <w:pStyle w:val="NormalWeb"/>
        <w:spacing w:after="0"/>
        <w:jc w:val="both"/>
        <w:rPr>
          <w:lang w:val="sr-Cyrl-RS"/>
        </w:rPr>
      </w:pPr>
      <w:r>
        <w:rPr>
          <w:lang w:val="sr-Cyrl-RS"/>
        </w:rPr>
        <w:t>Ови подаци</w:t>
      </w:r>
      <w:r w:rsidR="00BA0B69" w:rsidRPr="00877DFD">
        <w:rPr>
          <w:lang w:val="sr-Cyrl-RS"/>
        </w:rPr>
        <w:t xml:space="preserve"> </w:t>
      </w:r>
      <w:r w:rsidR="00877DFD" w:rsidRPr="00877DFD">
        <w:rPr>
          <w:lang w:val="sr-Cyrl-RS"/>
        </w:rPr>
        <w:t>показуј</w:t>
      </w:r>
      <w:r>
        <w:rPr>
          <w:lang w:val="sr-Cyrl-RS"/>
        </w:rPr>
        <w:t>у</w:t>
      </w:r>
      <w:r w:rsidR="00BA0B69" w:rsidRPr="00877DFD">
        <w:rPr>
          <w:lang w:val="sr-Cyrl-RS"/>
        </w:rPr>
        <w:t xml:space="preserve"> да послодавци обрађују више од 1,5 милиона дана боловања годишње, а сваки појединачни случај носи административне трошкове</w:t>
      </w:r>
      <w:r w:rsidR="00A36A36">
        <w:rPr>
          <w:lang w:val="sr-Cyrl-RS"/>
        </w:rPr>
        <w:t xml:space="preserve"> (</w:t>
      </w:r>
      <w:r w:rsidR="00A36A36" w:rsidRPr="00A36A36">
        <w:rPr>
          <w:lang w:val="sr-Cyrl-RS"/>
        </w:rPr>
        <w:t>радно време запослених у сектору људских ресурса, трошков</w:t>
      </w:r>
      <w:r w:rsidR="00A36A36">
        <w:rPr>
          <w:lang w:val="sr-Cyrl-RS"/>
        </w:rPr>
        <w:t>и</w:t>
      </w:r>
      <w:r w:rsidR="00A36A36" w:rsidRPr="00A36A36">
        <w:rPr>
          <w:lang w:val="sr-Cyrl-RS"/>
        </w:rPr>
        <w:t xml:space="preserve"> транспорта </w:t>
      </w:r>
      <w:r w:rsidR="003D09DC">
        <w:rPr>
          <w:lang w:val="sr-Cyrl-RS"/>
        </w:rPr>
        <w:t xml:space="preserve">и доставе </w:t>
      </w:r>
      <w:r w:rsidR="00A36A36" w:rsidRPr="00A36A36">
        <w:rPr>
          <w:lang w:val="sr-Cyrl-RS"/>
        </w:rPr>
        <w:t>документације, папир, штамп</w:t>
      </w:r>
      <w:r w:rsidR="00A36A36">
        <w:rPr>
          <w:lang w:val="sr-Cyrl-RS"/>
        </w:rPr>
        <w:t>а</w:t>
      </w:r>
      <w:r w:rsidR="00A36A36" w:rsidRPr="00A36A36">
        <w:rPr>
          <w:lang w:val="sr-Cyrl-RS"/>
        </w:rPr>
        <w:t>, скенирање</w:t>
      </w:r>
      <w:r w:rsidR="003D09DC">
        <w:rPr>
          <w:lang w:val="sr-Cyrl-RS"/>
        </w:rPr>
        <w:t>, уно</w:t>
      </w:r>
      <w:r>
        <w:rPr>
          <w:lang w:val="sr-Cyrl-RS"/>
        </w:rPr>
        <w:t>с</w:t>
      </w:r>
      <w:r w:rsidR="003D09DC">
        <w:rPr>
          <w:lang w:val="sr-Cyrl-RS"/>
        </w:rPr>
        <w:t xml:space="preserve">, евидентирање, </w:t>
      </w:r>
      <w:r w:rsidR="003D09DC" w:rsidRPr="003D09DC">
        <w:rPr>
          <w:lang w:val="sr-Cyrl-RS"/>
        </w:rPr>
        <w:t>интерн</w:t>
      </w:r>
      <w:r w:rsidR="003D09DC">
        <w:rPr>
          <w:lang w:val="sr-Cyrl-RS"/>
        </w:rPr>
        <w:t>а</w:t>
      </w:r>
      <w:r w:rsidR="003D09DC" w:rsidRPr="003D09DC">
        <w:rPr>
          <w:lang w:val="sr-Cyrl-RS"/>
        </w:rPr>
        <w:t xml:space="preserve"> комуникациј</w:t>
      </w:r>
      <w:r w:rsidR="003D09DC">
        <w:rPr>
          <w:lang w:val="sr-Cyrl-RS"/>
        </w:rPr>
        <w:t>а</w:t>
      </w:r>
      <w:r w:rsidR="003D09DC" w:rsidRPr="003D09DC">
        <w:rPr>
          <w:lang w:val="sr-Cyrl-RS"/>
        </w:rPr>
        <w:t xml:space="preserve"> и провер</w:t>
      </w:r>
      <w:r w:rsidR="003D09DC">
        <w:rPr>
          <w:lang w:val="sr-Cyrl-RS"/>
        </w:rPr>
        <w:t>а</w:t>
      </w:r>
      <w:r w:rsidR="003D09DC" w:rsidRPr="003D09DC">
        <w:rPr>
          <w:lang w:val="sr-Cyrl-RS"/>
        </w:rPr>
        <w:t xml:space="preserve"> статуса</w:t>
      </w:r>
      <w:r w:rsidR="003D09DC">
        <w:rPr>
          <w:lang w:val="sr-Cyrl-RS"/>
        </w:rPr>
        <w:t xml:space="preserve">, </w:t>
      </w:r>
      <w:r w:rsidR="00A36A36" w:rsidRPr="00A36A36">
        <w:rPr>
          <w:lang w:val="sr-Cyrl-RS"/>
        </w:rPr>
        <w:t>архивирање)</w:t>
      </w:r>
      <w:r w:rsidR="00877DFD" w:rsidRPr="00877DFD">
        <w:rPr>
          <w:lang w:val="sr-Cyrl-RS"/>
        </w:rPr>
        <w:t>, и то</w:t>
      </w:r>
      <w:r w:rsidR="00BA0B69" w:rsidRPr="00877DFD">
        <w:rPr>
          <w:lang w:val="sr-Cyrl-RS"/>
        </w:rPr>
        <w:t xml:space="preserve"> у просеку од 500 до 1.200 динара по </w:t>
      </w:r>
      <w:r w:rsidR="00877DFD" w:rsidRPr="00877DFD">
        <w:rPr>
          <w:lang w:val="sr-Cyrl-RS"/>
        </w:rPr>
        <w:t xml:space="preserve">једном </w:t>
      </w:r>
      <w:r w:rsidR="00BA0B69" w:rsidRPr="00877DFD">
        <w:rPr>
          <w:lang w:val="sr-Cyrl-RS"/>
        </w:rPr>
        <w:t>случају</w:t>
      </w:r>
      <w:r w:rsidR="00A36A36">
        <w:rPr>
          <w:lang w:val="sr-Cyrl-RS"/>
        </w:rPr>
        <w:t xml:space="preserve">, а </w:t>
      </w:r>
      <w:r w:rsidR="00A36A36" w:rsidRPr="00A36A36">
        <w:rPr>
          <w:lang w:val="sr-Cyrl-RS"/>
        </w:rPr>
        <w:t>у зависности од величине и дигиталне зрелости пр</w:t>
      </w:r>
      <w:r w:rsidR="00A36A36">
        <w:rPr>
          <w:lang w:val="sr-Cyrl-RS"/>
        </w:rPr>
        <w:t>ивредног субјекта</w:t>
      </w:r>
      <w:r w:rsidR="00BA0B69" w:rsidRPr="00877DFD">
        <w:rPr>
          <w:lang w:val="sr-Cyrl-RS"/>
        </w:rPr>
        <w:t xml:space="preserve">. </w:t>
      </w:r>
      <w:bookmarkEnd w:id="2"/>
      <w:r w:rsidR="00FD7B7A">
        <w:rPr>
          <w:lang w:val="sr-Cyrl-RS"/>
        </w:rPr>
        <w:t>Послодавци, тиме, на укупном нивоу имају административни годишњи трошак на ову процедуру у висини од 750.000.000 до 1.800.000.000 динара.</w:t>
      </w:r>
    </w:p>
    <w:p w14:paraId="38C9B563" w14:textId="2BA25FA7" w:rsidR="00BA0B69" w:rsidRDefault="00BA0B69" w:rsidP="00877D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77D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Аутоматизацијом и укидањем папирне размене докумената, очекује се умањење укупних годишњих административних </w:t>
      </w:r>
      <w:r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трошкова </w:t>
      </w:r>
      <w:r w:rsidR="00F33954"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>у распону од 45</w:t>
      </w:r>
      <w:r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% до </w:t>
      </w:r>
      <w:r w:rsidR="00F33954"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>8</w:t>
      </w:r>
      <w:r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>0%</w:t>
      </w:r>
      <w:r w:rsidR="000136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 </w:t>
      </w:r>
      <w:r w:rsidR="003D09DC"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>агрегатн</w:t>
      </w:r>
      <w:r w:rsidR="00013689">
        <w:rPr>
          <w:rFonts w:ascii="Times New Roman" w:eastAsia="Times New Roman" w:hAnsi="Times New Roman" w:cs="Times New Roman"/>
          <w:sz w:val="24"/>
          <w:szCs w:val="24"/>
          <w:lang w:val="sr-Cyrl-RS"/>
        </w:rPr>
        <w:t>ог трошка у висини</w:t>
      </w:r>
      <w:r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 </w:t>
      </w:r>
      <w:r w:rsidR="00A36A36"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>75</w:t>
      </w:r>
      <w:r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0 </w:t>
      </w:r>
      <w:r w:rsidR="003D09DC"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милиона </w:t>
      </w:r>
      <w:r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 </w:t>
      </w:r>
      <w:r w:rsidR="003D09DC"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једне милијарде и 8</w:t>
      </w:r>
      <w:r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>00 милиона динара годишње</w:t>
      </w:r>
      <w:r w:rsidR="00A36A36"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(1.500.000 х 500 </w:t>
      </w:r>
      <w:r w:rsidR="003D09DC"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→ </w:t>
      </w:r>
      <w:r w:rsidR="00A36A36"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>1.500.000 х 1.200)</w:t>
      </w:r>
      <w:r w:rsidR="000136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што даје уштеде у распону од </w:t>
      </w:r>
      <w:r w:rsidR="003C3BC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337,5 милиона до </w:t>
      </w:r>
      <w:r w:rsidR="00013689">
        <w:rPr>
          <w:rFonts w:ascii="Times New Roman" w:eastAsia="Times New Roman" w:hAnsi="Times New Roman" w:cs="Times New Roman"/>
          <w:sz w:val="24"/>
          <w:szCs w:val="24"/>
          <w:lang w:val="sr-Cyrl-RS"/>
        </w:rPr>
        <w:t>810 милиона</w:t>
      </w:r>
      <w:r w:rsidR="003C3BC2">
        <w:rPr>
          <w:rFonts w:ascii="Times New Roman" w:eastAsia="Times New Roman" w:hAnsi="Times New Roman" w:cs="Times New Roman"/>
          <w:sz w:val="24"/>
          <w:szCs w:val="24"/>
          <w:lang w:val="sr-Cyrl-RS"/>
        </w:rPr>
        <w:t>, односно од</w:t>
      </w:r>
      <w:r w:rsidR="000136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3C3BC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600 милиона до </w:t>
      </w:r>
      <w:r w:rsidR="00013689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једне милијарде и 440 милиона</w:t>
      </w:r>
      <w:r w:rsidR="003C3BC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динара</w:t>
      </w:r>
      <w:r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5DE20AB6" w14:textId="6A062D8C" w:rsidR="00BA0B69" w:rsidRPr="00F33954" w:rsidRDefault="00F33954" w:rsidP="00F3395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>Када је реч о уштедама на нивоу појединачног привредног друштва, за пример можемо узети д.о.о. средње величине са 100 запослених, које има 1,2 боловања по запосленом годишње, тј. 120 случајева боловања годишње (100 запослених × просечно 1,2 боловања по запосленом годишње = 120 боловања годишње). Трошак административне обраде једне пријаве износи од 3.000 до 6.000 динара, чиме 120 пријава × 3.000 дин</w:t>
      </w:r>
      <w:r w:rsidR="00C31EBF">
        <w:rPr>
          <w:rFonts w:ascii="Times New Roman" w:eastAsia="Times New Roman" w:hAnsi="Times New Roman" w:cs="Times New Roman"/>
          <w:sz w:val="24"/>
          <w:szCs w:val="24"/>
          <w:lang w:val="sr-Cyrl-RS"/>
        </w:rPr>
        <w:t>ара</w:t>
      </w:r>
      <w:r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(најнижи износ) = 360.000 дин</w:t>
      </w:r>
      <w:r w:rsidR="00C31EBF">
        <w:rPr>
          <w:rFonts w:ascii="Times New Roman" w:eastAsia="Times New Roman" w:hAnsi="Times New Roman" w:cs="Times New Roman"/>
          <w:sz w:val="24"/>
          <w:szCs w:val="24"/>
          <w:lang w:val="sr-Cyrl-RS"/>
        </w:rPr>
        <w:t>ара</w:t>
      </w:r>
      <w:r w:rsidRPr="00F339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минималног годишњег административног трошка. У већим компанијама (нпр. 500-1000 запослених), број пријава и укупни трошкови, према томе, достижу и преко 2 милиона динара годишње. Ова процена је реалистична, </w:t>
      </w:r>
      <w:r w:rsidR="00BA0B69" w:rsidRPr="00F33954">
        <w:rPr>
          <w:rFonts w:ascii="Times New Roman" w:hAnsi="Times New Roman" w:cs="Times New Roman"/>
          <w:sz w:val="24"/>
          <w:szCs w:val="24"/>
          <w:lang w:val="sr-Cyrl-RS"/>
        </w:rPr>
        <w:t>ако се узме у обзир да нека производна предузећа имају</w:t>
      </w:r>
      <w:r w:rsidRPr="00F339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A0B69" w:rsidRPr="00F33954">
        <w:rPr>
          <w:rFonts w:ascii="Times New Roman" w:hAnsi="Times New Roman" w:cs="Times New Roman"/>
          <w:sz w:val="24"/>
          <w:szCs w:val="24"/>
          <w:lang w:val="sr-Cyrl-RS"/>
        </w:rPr>
        <w:t>већи број смена,</w:t>
      </w:r>
      <w:r w:rsidRPr="00F339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A0B69" w:rsidRPr="00F33954">
        <w:rPr>
          <w:rFonts w:ascii="Times New Roman" w:hAnsi="Times New Roman" w:cs="Times New Roman"/>
          <w:sz w:val="24"/>
          <w:szCs w:val="24"/>
          <w:lang w:val="sr-Cyrl-RS"/>
        </w:rPr>
        <w:t>већу учесталост боловања</w:t>
      </w:r>
      <w:r w:rsidRPr="00F33954">
        <w:rPr>
          <w:rFonts w:ascii="Times New Roman" w:hAnsi="Times New Roman" w:cs="Times New Roman"/>
          <w:sz w:val="24"/>
          <w:szCs w:val="24"/>
          <w:lang w:val="sr-Cyrl-RS"/>
        </w:rPr>
        <w:t xml:space="preserve"> и сложнију </w:t>
      </w:r>
      <w:r w:rsidR="00BA0B69" w:rsidRPr="00F33954">
        <w:rPr>
          <w:rFonts w:ascii="Times New Roman" w:hAnsi="Times New Roman" w:cs="Times New Roman"/>
          <w:sz w:val="24"/>
          <w:szCs w:val="24"/>
          <w:lang w:val="sr-Cyrl-RS"/>
        </w:rPr>
        <w:t>процедуру евиденције (нарочито без дигитализације).</w:t>
      </w:r>
    </w:p>
    <w:p w14:paraId="7B74C75F" w14:textId="1F587F09" w:rsidR="00BA0B69" w:rsidRPr="00857D79" w:rsidRDefault="00BA0B69" w:rsidP="00857D79">
      <w:pPr>
        <w:pStyle w:val="NormalWeb"/>
        <w:spacing w:before="0" w:beforeAutospacing="0" w:after="0" w:afterAutospacing="0"/>
        <w:jc w:val="both"/>
        <w:rPr>
          <w:lang w:val="sr-Cyrl-RS"/>
        </w:rPr>
      </w:pPr>
      <w:r w:rsidRPr="00857D79">
        <w:rPr>
          <w:lang w:val="sr-Cyrl-RS"/>
        </w:rPr>
        <w:t xml:space="preserve">Увођењем обавезног, централизованог и усклађеног система за електронску размену </w:t>
      </w:r>
      <w:r w:rsidR="00857D79" w:rsidRPr="00857D79">
        <w:rPr>
          <w:lang w:val="sr-Cyrl-RS"/>
        </w:rPr>
        <w:t xml:space="preserve">података и </w:t>
      </w:r>
      <w:r w:rsidRPr="00857D79">
        <w:rPr>
          <w:lang w:val="sr-Cyrl-RS"/>
        </w:rPr>
        <w:t xml:space="preserve">докумената, очекује се умањење административних трошкова у следећим </w:t>
      </w:r>
      <w:r w:rsidR="00857D79" w:rsidRPr="00857D79">
        <w:rPr>
          <w:lang w:val="sr-Cyrl-RS"/>
        </w:rPr>
        <w:t>размерам</w:t>
      </w:r>
      <w:r w:rsidRPr="00857D79">
        <w:rPr>
          <w:lang w:val="sr-Cyrl-RS"/>
        </w:rPr>
        <w:t>а:</w:t>
      </w:r>
    </w:p>
    <w:p w14:paraId="4A117415" w14:textId="3D6AF1E6" w:rsidR="00BA0B69" w:rsidRPr="00857D79" w:rsidRDefault="00857D79" w:rsidP="00CD4D46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lang w:val="sr-Cyrl-RS"/>
        </w:rPr>
      </w:pPr>
      <w:r w:rsidRPr="00857D79">
        <w:rPr>
          <w:rStyle w:val="Strong"/>
          <w:b w:val="0"/>
          <w:bCs w:val="0"/>
          <w:lang w:val="sr-Cyrl-RS"/>
        </w:rPr>
        <w:t>у</w:t>
      </w:r>
      <w:r w:rsidR="00BA0B69" w:rsidRPr="00857D79">
        <w:rPr>
          <w:rStyle w:val="Strong"/>
          <w:b w:val="0"/>
          <w:bCs w:val="0"/>
          <w:lang w:val="sr-Cyrl-RS"/>
        </w:rPr>
        <w:t>штеде на трошковима транспорта и доставе докумената</w:t>
      </w:r>
      <w:r w:rsidR="00BA0B69" w:rsidRPr="00857D79">
        <w:rPr>
          <w:lang w:val="sr-Cyrl-RS"/>
        </w:rPr>
        <w:t xml:space="preserve"> </w:t>
      </w:r>
      <w:r w:rsidRPr="00857D79">
        <w:rPr>
          <w:lang w:val="sr-Cyrl-RS"/>
        </w:rPr>
        <w:t>-</w:t>
      </w:r>
      <w:r w:rsidR="00BA0B69" w:rsidRPr="00857D79">
        <w:rPr>
          <w:lang w:val="sr-Cyrl-RS"/>
        </w:rPr>
        <w:t xml:space="preserve"> елиминацијом папирне документације и физичког преноса потврда, очекује се умањење трошкова у просеку за </w:t>
      </w:r>
      <w:r w:rsidRPr="00857D79">
        <w:rPr>
          <w:lang w:val="sr-Cyrl-RS"/>
        </w:rPr>
        <w:t xml:space="preserve">од </w:t>
      </w:r>
      <w:r w:rsidR="00BA0B69" w:rsidRPr="00857D79">
        <w:rPr>
          <w:lang w:val="sr-Cyrl-RS"/>
        </w:rPr>
        <w:t>15</w:t>
      </w:r>
      <w:r w:rsidRPr="00857D79">
        <w:rPr>
          <w:lang w:val="sr-Cyrl-RS"/>
        </w:rPr>
        <w:t xml:space="preserve"> до </w:t>
      </w:r>
      <w:r w:rsidR="00BA0B69" w:rsidRPr="00857D79">
        <w:rPr>
          <w:lang w:val="sr-Cyrl-RS"/>
        </w:rPr>
        <w:t>25% по случају</w:t>
      </w:r>
      <w:r w:rsidRPr="00857D79">
        <w:rPr>
          <w:lang w:val="sr-Cyrl-RS"/>
        </w:rPr>
        <w:t>;</w:t>
      </w:r>
    </w:p>
    <w:p w14:paraId="1A9F2B1D" w14:textId="286687B0" w:rsidR="00BA0B69" w:rsidRPr="00857D79" w:rsidRDefault="00857D79" w:rsidP="00CD4D46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lang w:val="sr-Cyrl-RS"/>
        </w:rPr>
      </w:pPr>
      <w:r w:rsidRPr="00857D79">
        <w:rPr>
          <w:rStyle w:val="Strong"/>
          <w:b w:val="0"/>
          <w:bCs w:val="0"/>
          <w:lang w:val="sr-Cyrl-RS"/>
        </w:rPr>
        <w:t>у</w:t>
      </w:r>
      <w:r w:rsidR="00BA0B69" w:rsidRPr="00857D79">
        <w:rPr>
          <w:rStyle w:val="Strong"/>
          <w:b w:val="0"/>
          <w:bCs w:val="0"/>
          <w:lang w:val="sr-Cyrl-RS"/>
        </w:rPr>
        <w:t>штеде на административној радној снази</w:t>
      </w:r>
      <w:r w:rsidR="00BA0B69" w:rsidRPr="00857D79">
        <w:rPr>
          <w:lang w:val="sr-Cyrl-RS"/>
        </w:rPr>
        <w:t xml:space="preserve"> </w:t>
      </w:r>
      <w:r w:rsidRPr="00857D79">
        <w:rPr>
          <w:lang w:val="sr-Cyrl-RS"/>
        </w:rPr>
        <w:t>-</w:t>
      </w:r>
      <w:r w:rsidR="00BA0B69" w:rsidRPr="00857D79">
        <w:rPr>
          <w:lang w:val="sr-Cyrl-RS"/>
        </w:rPr>
        <w:t xml:space="preserve"> скраћењем времена обраде и елиминацијом дуплих уноса, процењена уштеда износи </w:t>
      </w:r>
      <w:r w:rsidRPr="00857D79">
        <w:rPr>
          <w:lang w:val="sr-Cyrl-RS"/>
        </w:rPr>
        <w:t xml:space="preserve">од </w:t>
      </w:r>
      <w:r w:rsidR="00BA0B69" w:rsidRPr="00857D79">
        <w:rPr>
          <w:lang w:val="sr-Cyrl-RS"/>
        </w:rPr>
        <w:t>20</w:t>
      </w:r>
      <w:r w:rsidRPr="00857D79">
        <w:rPr>
          <w:lang w:val="sr-Cyrl-RS"/>
        </w:rPr>
        <w:t xml:space="preserve"> до </w:t>
      </w:r>
      <w:r w:rsidR="00BA0B69" w:rsidRPr="00857D79">
        <w:rPr>
          <w:lang w:val="sr-Cyrl-RS"/>
        </w:rPr>
        <w:t>40%, у зависности од степена претходне дигитализације п</w:t>
      </w:r>
      <w:r w:rsidRPr="00857D79">
        <w:rPr>
          <w:lang w:val="sr-Cyrl-RS"/>
        </w:rPr>
        <w:t>ривредног субјекта (послодавца);</w:t>
      </w:r>
    </w:p>
    <w:p w14:paraId="6745B713" w14:textId="6D828503" w:rsidR="00BA0B69" w:rsidRPr="00857D79" w:rsidRDefault="00857D79" w:rsidP="00CD4D46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lang w:val="sr-Cyrl-RS"/>
        </w:rPr>
      </w:pPr>
      <w:r w:rsidRPr="00857D79">
        <w:rPr>
          <w:rStyle w:val="Strong"/>
          <w:b w:val="0"/>
          <w:bCs w:val="0"/>
          <w:lang w:val="sr-Cyrl-RS"/>
        </w:rPr>
        <w:t>у</w:t>
      </w:r>
      <w:r w:rsidR="00BA0B69" w:rsidRPr="00857D79">
        <w:rPr>
          <w:rStyle w:val="Strong"/>
          <w:b w:val="0"/>
          <w:bCs w:val="0"/>
          <w:lang w:val="sr-Cyrl-RS"/>
        </w:rPr>
        <w:t>штеде на архивирању и складиштењу података</w:t>
      </w:r>
      <w:r w:rsidR="00BA0B69" w:rsidRPr="00857D79">
        <w:rPr>
          <w:lang w:val="sr-Cyrl-RS"/>
        </w:rPr>
        <w:t xml:space="preserve"> </w:t>
      </w:r>
      <w:r w:rsidRPr="00857D79">
        <w:rPr>
          <w:lang w:val="sr-Cyrl-RS"/>
        </w:rPr>
        <w:t>-</w:t>
      </w:r>
      <w:r w:rsidR="00BA0B69" w:rsidRPr="00857D79">
        <w:rPr>
          <w:lang w:val="sr-Cyrl-RS"/>
        </w:rPr>
        <w:t xml:space="preserve"> увођењем еАрхиве и аутоматизацијом, уштеде достижу </w:t>
      </w:r>
      <w:r w:rsidRPr="00857D79">
        <w:rPr>
          <w:lang w:val="sr-Cyrl-RS"/>
        </w:rPr>
        <w:t xml:space="preserve">од </w:t>
      </w:r>
      <w:r w:rsidR="00BA0B69" w:rsidRPr="00857D79">
        <w:rPr>
          <w:lang w:val="sr-Cyrl-RS"/>
        </w:rPr>
        <w:t>10</w:t>
      </w:r>
      <w:r w:rsidRPr="00857D79">
        <w:rPr>
          <w:lang w:val="sr-Cyrl-RS"/>
        </w:rPr>
        <w:t xml:space="preserve"> до </w:t>
      </w:r>
      <w:r w:rsidR="00BA0B69" w:rsidRPr="00857D79">
        <w:rPr>
          <w:lang w:val="sr-Cyrl-RS"/>
        </w:rPr>
        <w:t>15% трошкова по случају.</w:t>
      </w:r>
    </w:p>
    <w:p w14:paraId="655BA6B4" w14:textId="165B4D04" w:rsidR="00C31EBF" w:rsidRPr="00C31EBF" w:rsidRDefault="00C31EBF" w:rsidP="00C31EBF">
      <w:pPr>
        <w:pStyle w:val="NormalWeb"/>
        <w:jc w:val="center"/>
        <w:rPr>
          <w:b/>
          <w:bCs/>
          <w:lang w:val="sr-Cyrl-RS"/>
        </w:rPr>
      </w:pPr>
      <w:r w:rsidRPr="003E6AD2">
        <w:rPr>
          <w:b/>
          <w:bCs/>
          <w:lang w:val="sr-Cyrl-RS"/>
        </w:rPr>
        <w:t>Табела</w:t>
      </w:r>
      <w:r w:rsidR="003E6AD2" w:rsidRPr="003E6AD2">
        <w:rPr>
          <w:b/>
          <w:bCs/>
          <w:lang w:val="sr-Cyrl-RS"/>
        </w:rPr>
        <w:t xml:space="preserve"> 5</w:t>
      </w:r>
      <w:r w:rsidRPr="003E6AD2">
        <w:rPr>
          <w:b/>
          <w:bCs/>
          <w:lang w:val="sr-Cyrl-RS"/>
        </w:rPr>
        <w:t xml:space="preserve">: </w:t>
      </w:r>
      <w:r w:rsidR="00886F9E" w:rsidRPr="003E6AD2">
        <w:rPr>
          <w:b/>
          <w:bCs/>
          <w:lang w:val="sr-Cyrl-RS"/>
        </w:rPr>
        <w:t>Процена</w:t>
      </w:r>
      <w:r w:rsidR="00886F9E">
        <w:rPr>
          <w:b/>
          <w:bCs/>
          <w:lang w:val="sr-Cyrl-RS"/>
        </w:rPr>
        <w:t xml:space="preserve"> у</w:t>
      </w:r>
      <w:r w:rsidRPr="00C31EBF">
        <w:rPr>
          <w:b/>
          <w:bCs/>
          <w:lang w:val="sr-Cyrl-RS"/>
        </w:rPr>
        <w:t>штед</w:t>
      </w:r>
      <w:r w:rsidR="00886F9E">
        <w:rPr>
          <w:b/>
          <w:bCs/>
          <w:lang w:val="sr-Cyrl-RS"/>
        </w:rPr>
        <w:t>а</w:t>
      </w:r>
      <w:r w:rsidRPr="00C31EBF">
        <w:rPr>
          <w:b/>
          <w:bCs/>
          <w:lang w:val="sr-Cyrl-RS"/>
        </w:rPr>
        <w:t xml:space="preserve"> на примеру два привредна субјекта</w:t>
      </w:r>
      <w:r w:rsidR="00A539F4">
        <w:rPr>
          <w:b/>
          <w:bCs/>
          <w:lang w:val="sr-Cyrl-RS"/>
        </w:rPr>
        <w:t xml:space="preserve"> различите величине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2"/>
        <w:gridCol w:w="1519"/>
        <w:gridCol w:w="1515"/>
        <w:gridCol w:w="1360"/>
        <w:gridCol w:w="1619"/>
        <w:gridCol w:w="1625"/>
      </w:tblGrid>
      <w:tr w:rsidR="00A913F4" w:rsidRPr="00C31EBF" w14:paraId="40D3B1EB" w14:textId="77777777" w:rsidTr="00C31EBF">
        <w:tc>
          <w:tcPr>
            <w:tcW w:w="0" w:type="auto"/>
            <w:hideMark/>
          </w:tcPr>
          <w:p w14:paraId="74F0D868" w14:textId="77777777" w:rsidR="00C31EBF" w:rsidRPr="00C31EBF" w:rsidRDefault="00C31EBF" w:rsidP="00C31E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привредног друштва</w:t>
            </w:r>
          </w:p>
        </w:tc>
        <w:tc>
          <w:tcPr>
            <w:tcW w:w="0" w:type="auto"/>
            <w:hideMark/>
          </w:tcPr>
          <w:p w14:paraId="56AAF149" w14:textId="77777777" w:rsidR="00C31EBF" w:rsidRPr="00C31EBF" w:rsidRDefault="00C31EBF" w:rsidP="00C31E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Број запослених</w:t>
            </w:r>
          </w:p>
        </w:tc>
        <w:tc>
          <w:tcPr>
            <w:tcW w:w="0" w:type="auto"/>
            <w:hideMark/>
          </w:tcPr>
          <w:p w14:paraId="76F75FBF" w14:textId="4C7F7A88" w:rsidR="00C31EBF" w:rsidRPr="00C31EBF" w:rsidRDefault="00C31EBF" w:rsidP="00C31E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Б</w:t>
            </w:r>
            <w:r w:rsidR="00A91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рој б</w:t>
            </w:r>
            <w:r w:rsidRPr="00C3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оловања годишње</w:t>
            </w:r>
          </w:p>
        </w:tc>
        <w:tc>
          <w:tcPr>
            <w:tcW w:w="0" w:type="auto"/>
            <w:hideMark/>
          </w:tcPr>
          <w:p w14:paraId="0B21279D" w14:textId="667BC66A" w:rsidR="00C31EBF" w:rsidRPr="00C31EBF" w:rsidRDefault="00C31EBF" w:rsidP="00C31E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Адм</w:t>
            </w:r>
            <w:r w:rsidR="00A91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ин.</w:t>
            </w:r>
            <w:r w:rsidRPr="00C3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трошак </w:t>
            </w:r>
            <w:r w:rsidR="00A91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 случају</w:t>
            </w:r>
          </w:p>
        </w:tc>
        <w:tc>
          <w:tcPr>
            <w:tcW w:w="0" w:type="auto"/>
            <w:hideMark/>
          </w:tcPr>
          <w:p w14:paraId="11F96404" w14:textId="03D5900C" w:rsidR="00C31EBF" w:rsidRPr="00C31EBF" w:rsidRDefault="00C31EBF" w:rsidP="00C31E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Укупни год</w:t>
            </w:r>
            <w:r w:rsidR="00A91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ишњи </w:t>
            </w:r>
            <w:r w:rsidRPr="00C3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трошкови</w:t>
            </w:r>
          </w:p>
        </w:tc>
        <w:tc>
          <w:tcPr>
            <w:tcW w:w="0" w:type="auto"/>
            <w:hideMark/>
          </w:tcPr>
          <w:p w14:paraId="277EA6DA" w14:textId="4B7E2382" w:rsidR="00C31EBF" w:rsidRPr="00C31EBF" w:rsidRDefault="00A913F4" w:rsidP="00C31E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Процењен</w:t>
            </w:r>
            <w:r w:rsidR="00C31EBF" w:rsidRPr="00C3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а уштеда</w:t>
            </w:r>
          </w:p>
        </w:tc>
      </w:tr>
      <w:tr w:rsidR="00A913F4" w:rsidRPr="00C31EBF" w14:paraId="65DFB421" w14:textId="77777777" w:rsidTr="00C31EBF">
        <w:tc>
          <w:tcPr>
            <w:tcW w:w="0" w:type="auto"/>
            <w:hideMark/>
          </w:tcPr>
          <w:p w14:paraId="145D4B1B" w14:textId="77777777" w:rsidR="00C31EBF" w:rsidRPr="00C31EBF" w:rsidRDefault="00C31EBF" w:rsidP="00C31E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Средње (д.о.о.)</w:t>
            </w:r>
          </w:p>
        </w:tc>
        <w:tc>
          <w:tcPr>
            <w:tcW w:w="0" w:type="auto"/>
            <w:hideMark/>
          </w:tcPr>
          <w:p w14:paraId="5A171044" w14:textId="77777777" w:rsidR="00C31EBF" w:rsidRPr="00C31EBF" w:rsidRDefault="00C31EBF" w:rsidP="00C31E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0" w:type="auto"/>
            <w:hideMark/>
          </w:tcPr>
          <w:p w14:paraId="41D7E927" w14:textId="77777777" w:rsidR="00C31EBF" w:rsidRPr="00C31EBF" w:rsidRDefault="00C31EBF" w:rsidP="00C31E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120</w:t>
            </w:r>
          </w:p>
        </w:tc>
        <w:tc>
          <w:tcPr>
            <w:tcW w:w="0" w:type="auto"/>
            <w:hideMark/>
          </w:tcPr>
          <w:p w14:paraId="13185EF4" w14:textId="77777777" w:rsidR="00C31EBF" w:rsidRPr="00C31EBF" w:rsidRDefault="00C31EBF" w:rsidP="00C31E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3.000 дин.</w:t>
            </w:r>
          </w:p>
        </w:tc>
        <w:tc>
          <w:tcPr>
            <w:tcW w:w="0" w:type="auto"/>
            <w:hideMark/>
          </w:tcPr>
          <w:p w14:paraId="28FF6BB1" w14:textId="77777777" w:rsidR="00C31EBF" w:rsidRPr="00C31EBF" w:rsidRDefault="00C31EBF" w:rsidP="00C31E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360.000 дин.</w:t>
            </w:r>
          </w:p>
        </w:tc>
        <w:tc>
          <w:tcPr>
            <w:tcW w:w="0" w:type="auto"/>
            <w:hideMark/>
          </w:tcPr>
          <w:p w14:paraId="69D32FDA" w14:textId="77777777" w:rsidR="00C31EBF" w:rsidRPr="00C31EBF" w:rsidRDefault="00C31EBF" w:rsidP="00C31E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162.000 – 288.000 дин.</w:t>
            </w:r>
          </w:p>
        </w:tc>
      </w:tr>
      <w:tr w:rsidR="00A913F4" w:rsidRPr="00C31EBF" w14:paraId="1EA8BB4F" w14:textId="77777777" w:rsidTr="00C31EBF">
        <w:tc>
          <w:tcPr>
            <w:tcW w:w="0" w:type="auto"/>
            <w:hideMark/>
          </w:tcPr>
          <w:p w14:paraId="520E5272" w14:textId="0D3F85F3" w:rsidR="00C31EBF" w:rsidRPr="00C31EBF" w:rsidRDefault="00C31EBF" w:rsidP="00C31E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Велико (а.д.)</w:t>
            </w:r>
          </w:p>
        </w:tc>
        <w:tc>
          <w:tcPr>
            <w:tcW w:w="0" w:type="auto"/>
            <w:hideMark/>
          </w:tcPr>
          <w:p w14:paraId="0A7DADF1" w14:textId="4B548B52" w:rsidR="00C31EBF" w:rsidRPr="00C31EBF" w:rsidRDefault="00C31EBF" w:rsidP="00C31E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500-1000</w:t>
            </w:r>
          </w:p>
        </w:tc>
        <w:tc>
          <w:tcPr>
            <w:tcW w:w="0" w:type="auto"/>
            <w:hideMark/>
          </w:tcPr>
          <w:p w14:paraId="1286B7D1" w14:textId="76922877" w:rsidR="00C31EBF" w:rsidRPr="00C31EBF" w:rsidRDefault="00C31EBF" w:rsidP="00C31E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600-1.200</w:t>
            </w:r>
          </w:p>
        </w:tc>
        <w:tc>
          <w:tcPr>
            <w:tcW w:w="0" w:type="auto"/>
            <w:hideMark/>
          </w:tcPr>
          <w:p w14:paraId="5546886B" w14:textId="5D6CA8C8" w:rsidR="00C31EBF" w:rsidRPr="00C31EBF" w:rsidRDefault="00C31EBF" w:rsidP="00C31E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3.000 - 6.000 дин.</w:t>
            </w:r>
          </w:p>
        </w:tc>
        <w:tc>
          <w:tcPr>
            <w:tcW w:w="0" w:type="auto"/>
            <w:hideMark/>
          </w:tcPr>
          <w:p w14:paraId="0DEC5341" w14:textId="41F24C20" w:rsidR="00C31EBF" w:rsidRPr="00C31EBF" w:rsidRDefault="00C31EBF" w:rsidP="00C31E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1,8-7,2 мил. дин.</w:t>
            </w:r>
          </w:p>
        </w:tc>
        <w:tc>
          <w:tcPr>
            <w:tcW w:w="0" w:type="auto"/>
            <w:hideMark/>
          </w:tcPr>
          <w:p w14:paraId="3E42AB0C" w14:textId="77777777" w:rsidR="00C31EBF" w:rsidRPr="00C31EBF" w:rsidRDefault="00C31EBF" w:rsidP="00C31E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31E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810.000 – 5,7 мил. дин.</w:t>
            </w:r>
          </w:p>
        </w:tc>
      </w:tr>
    </w:tbl>
    <w:p w14:paraId="77CAEA8E" w14:textId="08173CF5" w:rsidR="00BA0B69" w:rsidRPr="009E0DE4" w:rsidRDefault="00C31EBF" w:rsidP="00C31EBF">
      <w:pPr>
        <w:pStyle w:val="NormalWeb"/>
        <w:jc w:val="both"/>
        <w:rPr>
          <w:lang w:val="sr-Cyrl-RS"/>
        </w:rPr>
      </w:pPr>
      <w:r>
        <w:rPr>
          <w:lang w:val="sr-Cyrl-RS"/>
        </w:rPr>
        <w:t>Е</w:t>
      </w:r>
      <w:r w:rsidR="00BA0B69" w:rsidRPr="00C31EBF">
        <w:rPr>
          <w:lang w:val="sr-Cyrl-RS"/>
        </w:rPr>
        <w:t xml:space="preserve">фекти </w:t>
      </w:r>
      <w:r w:rsidRPr="00C31EBF">
        <w:rPr>
          <w:lang w:val="sr-Cyrl-RS"/>
        </w:rPr>
        <w:t xml:space="preserve">уштеде </w:t>
      </w:r>
      <w:r w:rsidR="00BA0B69" w:rsidRPr="00C31EBF">
        <w:rPr>
          <w:lang w:val="sr-Cyrl-RS"/>
        </w:rPr>
        <w:t xml:space="preserve">ће бити посебно значајни за средња и велика предузећа која обрађују велики број боловања, </w:t>
      </w:r>
      <w:r w:rsidRPr="00C31EBF">
        <w:rPr>
          <w:lang w:val="sr-Cyrl-RS"/>
        </w:rPr>
        <w:t>као</w:t>
      </w:r>
      <w:r w:rsidR="00BA0B69" w:rsidRPr="00C31EBF">
        <w:rPr>
          <w:lang w:val="sr-Cyrl-RS"/>
        </w:rPr>
        <w:t xml:space="preserve"> и за јавни сектор (нпр. школе, здравствене установе) који укупно имају хиљаде запослених. Истовремено, </w:t>
      </w:r>
      <w:r>
        <w:rPr>
          <w:lang w:val="sr-Cyrl-RS"/>
        </w:rPr>
        <w:t xml:space="preserve">за </w:t>
      </w:r>
      <w:r w:rsidR="00BA0B69" w:rsidRPr="00C31EBF">
        <w:rPr>
          <w:lang w:val="sr-Cyrl-RS"/>
        </w:rPr>
        <w:t>очек</w:t>
      </w:r>
      <w:r>
        <w:rPr>
          <w:lang w:val="sr-Cyrl-RS"/>
        </w:rPr>
        <w:t>ивати ј</w:t>
      </w:r>
      <w:r w:rsidR="00BA0B69" w:rsidRPr="00C31EBF">
        <w:rPr>
          <w:lang w:val="sr-Cyrl-RS"/>
        </w:rPr>
        <w:t>е раст понуде дигиталних услуга тржишно оријентисаних добављача (провајдера софтвера за HR/обраду плате), што ће допринети смањењу укупних трошкова примене.</w:t>
      </w:r>
    </w:p>
    <w:p w14:paraId="3FC324BF" w14:textId="77777777" w:rsidR="008E6EBD" w:rsidRDefault="008E6EBD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8E6EB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2) Да ли се предложеним решењима прописа уводи нова, мења или укида постојећа финансијска обавеза за привредне субјекте? Који су позитивни ефекти увођења нове, измена или укидања обавезе?</w:t>
      </w:r>
    </w:p>
    <w:p w14:paraId="10AF9FD6" w14:textId="25321472" w:rsidR="009E0DE4" w:rsidRPr="00507498" w:rsidRDefault="009E0DE4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Предложеним решењ</w:t>
      </w:r>
      <w:r w:rsidR="006809E4"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="006809E4"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не уводе </w:t>
      </w:r>
      <w:r w:rsidR="00507498"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 </w:t>
      </w:r>
      <w:r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нове финансијске обавезе за привредне субјекте, нити се мењају постојеће у погледу уплата, такси или </w:t>
      </w:r>
      <w:r w:rsidR="00507498"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других дажбина</w:t>
      </w:r>
      <w:r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>. Финансирање примене система „Е-боловање – Послодавац</w:t>
      </w:r>
      <w:r w:rsidR="00013AD3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обезбеђује се из </w:t>
      </w:r>
      <w:r w:rsidR="00507498"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републичког </w:t>
      </w:r>
      <w:r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>буџета и постојећих средстава РФЗО.</w:t>
      </w:r>
    </w:p>
    <w:p w14:paraId="26DECBA0" w14:textId="3ADCBDEB" w:rsidR="009E0DE4" w:rsidRPr="009E0DE4" w:rsidRDefault="009E0DE4" w:rsidP="005074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Позитивни </w:t>
      </w:r>
      <w:r w:rsidR="00507498"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финансијски </w:t>
      </w:r>
      <w:r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>ефекти</w:t>
      </w:r>
      <w:r w:rsidR="00507498"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огледају се у изостанку </w:t>
      </w:r>
      <w:r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>трошкова лиценци или обавезне куповине софтвера</w:t>
      </w:r>
      <w:r w:rsidR="00507498"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>, јер ће</w:t>
      </w:r>
      <w:r w:rsidRPr="005074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систем бити доступан бесплатно</w:t>
      </w:r>
      <w:r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20346874" w14:textId="77777777" w:rsidR="008E6EBD" w:rsidRDefault="008E6EBD" w:rsidP="008A6F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8E6EB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3) Да ли се предложеним решењима прописа уводи нова, мења или укида постојећа обавеза која утиче на повећање или умањење трошкова производње и/или пружања услуга које сноси привредни субјект? Колико износи повећање или умањење ових трошкова? Да ли се обавеза може испунити на домаћем тржишту и да ли је рок за испуњење обавезе примерен? Који су позитивни ефекти увођења нове, измена или укидања обавезе? </w:t>
      </w:r>
    </w:p>
    <w:p w14:paraId="6AE708D3" w14:textId="5E729278" w:rsidR="009E0DE4" w:rsidRPr="008A6F28" w:rsidRDefault="009E0DE4" w:rsidP="008A6F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овом погледу, у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води се нова обавеза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али 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она не доводи до неког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значај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финансијск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оптерећењ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бавез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техничког повезивања са системом </w:t>
      </w:r>
      <w:r w:rsidR="00013AD3">
        <w:rPr>
          <w:rFonts w:ascii="Times New Roman" w:eastAsia="Times New Roman" w:hAnsi="Times New Roman" w:cs="Times New Roman"/>
          <w:sz w:val="24"/>
          <w:szCs w:val="24"/>
          <w:lang w:val="sr-Cyrl-RS"/>
        </w:rPr>
        <w:t>“</w:t>
      </w:r>
      <w:r w:rsidR="00212671">
        <w:rPr>
          <w:rFonts w:ascii="Times New Roman" w:eastAsia="Times New Roman" w:hAnsi="Times New Roman" w:cs="Times New Roman"/>
          <w:sz w:val="24"/>
          <w:szCs w:val="24"/>
          <w:lang w:val="sr-Cyrl-RS"/>
        </w:rPr>
        <w:t>Е-боловање - Послодавац”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, у виду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егистрације 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Порталу еУправа и 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овом 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систему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бесплатна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као и 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буке лица за рад у систему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која ће бити спроведена преко Канцеларије за ИТ и е-управу путем ангажовања непосредног извођача, док 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једнократни интерни трошак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постоји у облику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прилагођавања интерних софтверских решења ради повезивања са софтверским решењем „е-Боловање -</w:t>
      </w:r>
      <w:r w:rsidR="0008109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Послодавац</w:t>
      </w:r>
      <w:r w:rsidR="00013AD3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као и у виду 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одешавања интерних процедура.</w:t>
      </w:r>
    </w:p>
    <w:p w14:paraId="2852ED03" w14:textId="17DCB9A9" w:rsidR="00676202" w:rsidRPr="008A6F28" w:rsidRDefault="009E0DE4" w:rsidP="008A6F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Процењено повећање трошкова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а микро и мале субјекте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минимал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но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уопште ни нема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трошкова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јер 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ће 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привредни субјекти да 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корист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 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веб-интерфејс 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>Портала еУправа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, а з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а средње и велике</w:t>
      </w:r>
      <w:r w:rsidR="0050749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субјекте </w:t>
      </w:r>
      <w:r w:rsidR="008A6F2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постоји -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уколико </w:t>
      </w:r>
      <w:r w:rsidR="008A6F2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хоће и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нтеграцију са интерним системом </w:t>
      </w:r>
      <w:r w:rsidR="008A6F2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(нпр. информациони систем за управљање људским ресурсима, платама и одсуствима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као што су 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Latn-RS"/>
        </w:rPr>
        <w:t>SAP, ERP</w:t>
      </w:r>
      <w:r w:rsidR="00471D8C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HR</w:t>
      </w:r>
      <w:r w:rsidR="00471D8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Канцеларко</w:t>
      </w:r>
      <w:r w:rsidR="008A6F2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) -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једнократни трошак </w:t>
      </w:r>
      <w:r w:rsidR="008A6F2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ове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интеграције</w:t>
      </w:r>
      <w:r w:rsidR="008A6F2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/</w:t>
      </w:r>
      <w:r w:rsidR="00676202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повезивања и техничког прилагођавања, нарочито у виду</w:t>
      </w:r>
      <w:r w:rsidR="008A6F2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676202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развоја и имплементације 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посебног решења у оквиру унив</w:t>
      </w:r>
      <w:r w:rsidR="00FC50A4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рзалног </w:t>
      </w:r>
      <w:r w:rsidR="00676202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API повезивања са системом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(универзални 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API 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>обезбеђује Канцеларија за ИТ и е-управу)</w:t>
      </w:r>
      <w:r w:rsidR="00676202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8A6F2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676202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техничке подршке, безбедносних тестова и обуке запослених.</w:t>
      </w:r>
    </w:p>
    <w:p w14:paraId="2A95FD59" w14:textId="319E30D4" w:rsidR="005E3426" w:rsidRPr="00AE7D52" w:rsidRDefault="00676202" w:rsidP="00AE7D52">
      <w:pPr>
        <w:spacing w:beforeAutospacing="1" w:after="100" w:afterAutospacing="1" w:line="240" w:lineRule="auto"/>
        <w:jc w:val="both"/>
        <w:rPr>
          <w:highlight w:val="yellow"/>
          <w:lang w:val="sr-Cyrl-RS"/>
        </w:rPr>
      </w:pP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Према процени, 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овај 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једнократни трошак имплементације интеграције креће се у распону од 80.000 до 300.000 динара, у зависности од</w:t>
      </w:r>
      <w:r w:rsidR="008A6F2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нивоа прилагођености постојећег интерног софтвера,</w:t>
      </w:r>
      <w:r w:rsidR="008A6F2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броја функционалности које се повезују,</w:t>
      </w:r>
      <w:r w:rsidR="008A6F2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те 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потребе за консултантским и програмерским услугама.</w:t>
      </w:r>
      <w:r w:rsidR="002929A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Упркос почетној инвестицији, оваква интеграција знатно смањује трошкове рутинске администрације, скраћује време обраде, смањује грешке и омогућава брже одлучивање и извештавање, што је посебно значајно за велике </w:t>
      </w:r>
      <w:r w:rsidR="008A6F28"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компаније/</w:t>
      </w:r>
      <w:r w:rsidRPr="008A6F28">
        <w:rPr>
          <w:rFonts w:ascii="Times New Roman" w:eastAsia="Times New Roman" w:hAnsi="Times New Roman" w:cs="Times New Roman"/>
          <w:sz w:val="24"/>
          <w:szCs w:val="24"/>
          <w:lang w:val="sr-Cyrl-RS"/>
        </w:rPr>
        <w:t>системе са више организационих јединица.</w:t>
      </w:r>
      <w:r w:rsidR="002929A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07B6C" w:rsidRPr="00B07B6C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Једном речју, и</w:t>
      </w:r>
      <w:r w:rsidRPr="00B07B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нтеграција </w:t>
      </w:r>
      <w:r w:rsidR="002739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интерних софтверских решења </w:t>
      </w:r>
      <w:r w:rsidRPr="00B07B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није обавезна, али </w:t>
      </w:r>
      <w:r w:rsidR="00B07B6C" w:rsidRPr="00B07B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 </w:t>
      </w:r>
      <w:r w:rsidRPr="00B07B6C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препоруч</w:t>
      </w:r>
      <w:r w:rsidR="00B07B6C" w:rsidRPr="00B07B6C">
        <w:rPr>
          <w:rFonts w:ascii="Times New Roman" w:eastAsia="Times New Roman" w:hAnsi="Times New Roman" w:cs="Times New Roman"/>
          <w:sz w:val="24"/>
          <w:szCs w:val="24"/>
          <w:lang w:val="sr-Cyrl-RS"/>
        </w:rPr>
        <w:t>љив</w:t>
      </w:r>
      <w:r w:rsidRPr="00B07B6C">
        <w:rPr>
          <w:rFonts w:ascii="Times New Roman" w:eastAsia="Times New Roman" w:hAnsi="Times New Roman" w:cs="Times New Roman"/>
          <w:sz w:val="24"/>
          <w:szCs w:val="24"/>
          <w:lang w:val="sr-Cyrl-RS"/>
        </w:rPr>
        <w:t>а као напредни ниво учешћа у систему</w:t>
      </w:r>
      <w:r w:rsidR="002929A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послодавце</w:t>
      </w:r>
      <w:r w:rsidR="002929A4" w:rsidRPr="002929A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са </w:t>
      </w:r>
      <w:r w:rsidR="002929A4">
        <w:rPr>
          <w:rFonts w:ascii="Times New Roman" w:eastAsia="Times New Roman" w:hAnsi="Times New Roman" w:cs="Times New Roman"/>
          <w:sz w:val="24"/>
          <w:szCs w:val="24"/>
          <w:lang w:val="sr-Cyrl-RS"/>
        </w:rPr>
        <w:t>виш</w:t>
      </w:r>
      <w:r w:rsidR="002929A4" w:rsidRPr="002929A4">
        <w:rPr>
          <w:rFonts w:ascii="Times New Roman" w:eastAsia="Times New Roman" w:hAnsi="Times New Roman" w:cs="Times New Roman"/>
          <w:sz w:val="24"/>
          <w:szCs w:val="24"/>
          <w:lang w:val="sr-Cyrl-RS"/>
        </w:rPr>
        <w:t>им нивоом дигиталне зрелости.</w:t>
      </w:r>
      <w:r w:rsidRPr="00B07B6C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B07B6C" w:rsidRPr="00B07B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6AEB9196" w14:textId="058E09BC" w:rsidR="009E0DE4" w:rsidRPr="009E0DE4" w:rsidRDefault="009E0DE4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E7D52">
        <w:rPr>
          <w:rFonts w:ascii="Times New Roman" w:eastAsia="Times New Roman" w:hAnsi="Times New Roman" w:cs="Times New Roman"/>
          <w:sz w:val="24"/>
          <w:szCs w:val="24"/>
          <w:lang w:val="sr-Cyrl-RS"/>
        </w:rPr>
        <w:t>Обавезу је могуће испунити искључиво на домаћем тржишту.</w:t>
      </w:r>
      <w:r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Све техничке и административне услуге биће доступне кроз институционалну подршку</w:t>
      </w:r>
      <w:r w:rsidR="00AE7D5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Канцеларије за ИТ и е-Управу, </w:t>
      </w:r>
      <w:r w:rsidR="002929A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као и </w:t>
      </w:r>
      <w:r w:rsidR="00AE7D52">
        <w:rPr>
          <w:rFonts w:ascii="Times New Roman" w:eastAsia="Times New Roman" w:hAnsi="Times New Roman" w:cs="Times New Roman"/>
          <w:sz w:val="24"/>
          <w:szCs w:val="24"/>
          <w:lang w:val="sr-Cyrl-RS"/>
        </w:rPr>
        <w:t>РФЗО</w:t>
      </w:r>
      <w:r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надлежних министарстава.</w:t>
      </w:r>
      <w:r w:rsidR="009F1E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F1E30" w:rsidRPr="009F1E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Примена ће бити фазна, а </w:t>
      </w:r>
      <w:r w:rsidRPr="009F1E30">
        <w:rPr>
          <w:rFonts w:ascii="Times New Roman" w:eastAsia="Times New Roman" w:hAnsi="Times New Roman" w:cs="Times New Roman"/>
          <w:sz w:val="24"/>
          <w:szCs w:val="24"/>
          <w:lang w:val="sr-Cyrl-RS"/>
        </w:rPr>
        <w:t>подзаконски</w:t>
      </w:r>
      <w:r w:rsidR="009F1E30" w:rsidRPr="009F1E30">
        <w:rPr>
          <w:rFonts w:ascii="Times New Roman" w:eastAsia="Times New Roman" w:hAnsi="Times New Roman" w:cs="Times New Roman"/>
          <w:sz w:val="24"/>
          <w:szCs w:val="24"/>
          <w:lang w:val="sr-Cyrl-RS"/>
        </w:rPr>
        <w:t>м прописом</w:t>
      </w:r>
      <w:r w:rsidRPr="009F1E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ће </w:t>
      </w:r>
      <w:r w:rsidR="009F1E30" w:rsidRPr="009F1E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ближе </w:t>
      </w:r>
      <w:r w:rsidRPr="009F1E30">
        <w:rPr>
          <w:rFonts w:ascii="Times New Roman" w:eastAsia="Times New Roman" w:hAnsi="Times New Roman" w:cs="Times New Roman"/>
          <w:sz w:val="24"/>
          <w:szCs w:val="24"/>
          <w:lang w:val="sr-Cyrl-RS"/>
        </w:rPr>
        <w:t>уредити техничк</w:t>
      </w:r>
      <w:r w:rsidR="009F1E30" w:rsidRPr="009F1E30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9F1E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аспект</w:t>
      </w:r>
      <w:r w:rsidR="009F1E30" w:rsidRPr="009F1E30">
        <w:rPr>
          <w:rFonts w:ascii="Times New Roman" w:eastAsia="Times New Roman" w:hAnsi="Times New Roman" w:cs="Times New Roman"/>
          <w:sz w:val="24"/>
          <w:szCs w:val="24"/>
          <w:lang w:val="sr-Cyrl-RS"/>
        </w:rPr>
        <w:t>и примене</w:t>
      </w:r>
      <w:r w:rsidRPr="009F1E30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031A3348" w14:textId="2885E635" w:rsidR="008E6EBD" w:rsidRDefault="008E6EBD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8E6EB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4) На који начин ће предложена решења прописа утицати на конкурентност привредних субјеката на домаћем и иностраном тржишту?</w:t>
      </w:r>
    </w:p>
    <w:p w14:paraId="21FE587C" w14:textId="74412AF7" w:rsidR="00E13AF5" w:rsidRPr="00832297" w:rsidRDefault="00832297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8322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Утицај на конкурентност је позитиван, јер се </w:t>
      </w:r>
      <w:bookmarkStart w:id="3" w:name="_Hlk207021963"/>
      <w:r w:rsidRPr="00832297">
        <w:rPr>
          <w:rFonts w:ascii="Times New Roman" w:eastAsia="Times New Roman" w:hAnsi="Times New Roman" w:cs="Times New Roman"/>
          <w:sz w:val="24"/>
          <w:szCs w:val="24"/>
          <w:lang w:val="sr-Cyrl-RS"/>
        </w:rPr>
        <w:t>смањују оперативни и административни трошкови, повећава се правна сигурност и убрзава административна обрада, што унапређује конкурент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ск</w:t>
      </w:r>
      <w:r w:rsidRPr="00832297">
        <w:rPr>
          <w:rFonts w:ascii="Times New Roman" w:eastAsia="Times New Roman" w:hAnsi="Times New Roman" w:cs="Times New Roman"/>
          <w:sz w:val="24"/>
          <w:szCs w:val="24"/>
          <w:lang w:val="sr-Cyrl-RS"/>
        </w:rPr>
        <w:t>у позицију послодаваца.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E0DE4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Прелазак на електронску размену докумената омогућава</w:t>
      </w:r>
      <w:r w:rsidR="00E13AF5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</w:t>
      </w:r>
      <w:r w:rsidR="009E0DE4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>овећање ефикасности рада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- </w:t>
      </w:r>
      <w:r w:rsidR="009E0DE4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посебно код великих </w:t>
      </w:r>
      <w:r w:rsidR="00E13AF5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>компанија/</w:t>
      </w:r>
      <w:r w:rsidR="009E0DE4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>система</w:t>
      </w:r>
      <w:r w:rsidR="00E13AF5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који имају неколико</w:t>
      </w:r>
      <w:r w:rsidRPr="008322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нивоа управљања одсуствима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запослених - </w:t>
      </w:r>
      <w:r w:rsidR="00E13AF5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r w:rsidR="009E0DE4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>оље управљање одсуствима и кадровском евиденцијом</w:t>
      </w:r>
      <w:r w:rsidR="00E13AF5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повећање правне сигурности кроз јасан и брз увид у стање привремене спречености за рад, уз п</w:t>
      </w:r>
      <w:r w:rsidR="009E0DE4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озитиван сигнал за стране инвеститоре у погледу модернизације </w:t>
      </w:r>
      <w:r w:rsidR="00E13AF5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>управе.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bookmarkEnd w:id="3"/>
      <w:r w:rsidRPr="00832297">
        <w:rPr>
          <w:rFonts w:ascii="Times New Roman" w:eastAsia="Times New Roman" w:hAnsi="Times New Roman" w:cs="Times New Roman"/>
          <w:sz w:val="24"/>
          <w:szCs w:val="24"/>
          <w:lang w:val="sr-Latn-RS"/>
        </w:rPr>
        <w:t>Брз и поуздан увид у статус боловања доприноси бољој организацији посла, благовременом планирању замена и правовременом обрачуну накнада, што укупно води ка већој оперативној конкурентности.</w:t>
      </w:r>
    </w:p>
    <w:p w14:paraId="7B22DC3E" w14:textId="77777777" w:rsidR="008E6EBD" w:rsidRDefault="008E6EBD" w:rsidP="003C38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8E6EB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5) На који начин ће предложена решења прописа утицати на конкуренцију?</w:t>
      </w:r>
    </w:p>
    <w:p w14:paraId="1C0C5A3F" w14:textId="7224717E" w:rsidR="003C3880" w:rsidRPr="003C3880" w:rsidRDefault="00E13AF5" w:rsidP="003C38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Овај закон</w:t>
      </w:r>
      <w:r w:rsidR="009E0DE4"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ствара </w:t>
      </w:r>
      <w:r w:rsidR="009E0DE4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једнаке услове за све учеснике </w:t>
      </w:r>
      <w:r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>у процесу и на тржишту, јер су</w:t>
      </w:r>
      <w:r w:rsidR="009E0DE4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сви послодавци у обавези да користе систем, </w:t>
      </w:r>
      <w:r w:rsidR="003C3880" w:rsidRP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>независно од делатности или величине</w:t>
      </w:r>
      <w:r w:rsidR="003C388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="003C3880" w:rsidRP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>што ствара услове</w:t>
      </w:r>
      <w:r w:rsid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</w:t>
      </w:r>
      <w:r w:rsidR="003C3880" w:rsidRP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фер тржишн</w:t>
      </w:r>
      <w:r w:rsid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3C3880" w:rsidRP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утакмиц</w:t>
      </w:r>
      <w:r w:rsid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9E0DE4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3C3880" w:rsidRP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>Обједињен и транспарент</w:t>
      </w:r>
      <w:r w:rsid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3C3880" w:rsidRP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>н поступак обраде боловања смањује ризик од</w:t>
      </w:r>
      <w:r w:rsid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3C3880" w:rsidRP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>селективне примене прописа</w:t>
      </w:r>
      <w:r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>, пропуст</w:t>
      </w:r>
      <w:r w:rsid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9E0DE4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злоупотреб</w:t>
      </w:r>
      <w:r w:rsid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9E0DE4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достављању или </w:t>
      </w:r>
      <w:r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>сачињав</w:t>
      </w:r>
      <w:r w:rsidR="009E0DE4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ању </w:t>
      </w:r>
      <w:r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неистинитих </w:t>
      </w:r>
      <w:r w:rsidR="009E0DE4"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>докумената</w:t>
      </w:r>
      <w:r w:rsidRPr="00E13AF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те </w:t>
      </w:r>
      <w:r w:rsidR="003C3880" w:rsidRP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>различитих тумачења у поступању РФЗО, здравствених установа и послодаваца.</w:t>
      </w:r>
    </w:p>
    <w:p w14:paraId="1DC8377F" w14:textId="584C20D7" w:rsidR="003C3880" w:rsidRPr="009E0DE4" w:rsidRDefault="003C3880" w:rsidP="003C38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>Смањењем простора за манипулације и увођењем уређеног система размене, елиминише се основа за нелојалну конкуренцију код привремених одсустава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због спречености за рад</w:t>
      </w:r>
      <w:r w:rsidRP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>, што посебно добија на значају у делатностима са високим ослањањем на радну снагу.</w:t>
      </w:r>
    </w:p>
    <w:p w14:paraId="531F88FE" w14:textId="7ED084E2" w:rsidR="009E0DE4" w:rsidRPr="009E0DE4" w:rsidRDefault="008E6EBD" w:rsidP="00F0351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8E6EB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6) На који начин ће предложена решења прописа утицати на микро, мале и средње привредне субјекте (ММСП)?</w:t>
      </w:r>
    </w:p>
    <w:p w14:paraId="39A032EE" w14:textId="35C6FBB5" w:rsidR="0040524B" w:rsidRDefault="00971A2C" w:rsidP="006027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71A2C">
        <w:rPr>
          <w:rFonts w:ascii="Times New Roman" w:eastAsia="Times New Roman" w:hAnsi="Times New Roman" w:cs="Times New Roman"/>
          <w:sz w:val="24"/>
          <w:szCs w:val="24"/>
          <w:lang w:val="sr-Cyrl-RS"/>
        </w:rPr>
        <w:t>Утицај на сектор ММСП је в</w:t>
      </w:r>
      <w:r w:rsidR="009E0DE4" w:rsidRPr="00971A2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исоко позитиван. </w:t>
      </w:r>
      <w:bookmarkStart w:id="4" w:name="_Hlk207022019"/>
      <w:r w:rsidR="009E0DE4"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 посебно узима у обзир капацитете</w:t>
      </w:r>
      <w:r w:rsid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>/ограничене ресурсе</w:t>
      </w:r>
      <w:r w:rsidR="009E0DE4"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E0DE4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>ММСП</w:t>
      </w:r>
      <w:r w:rsidR="0040524B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>, па ће тако ј</w:t>
      </w:r>
      <w:r w:rsidR="009E0DE4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>авни портал РФЗО омогућити коришћење система без потребе за интеграцијом и без трошкова</w:t>
      </w:r>
      <w:r w:rsidR="0040524B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чиме </w:t>
      </w:r>
      <w:r w:rsidR="003C38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ова </w:t>
      </w:r>
      <w:r w:rsidR="0040524B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једноставност примене омогућава да и мањи привредни субјекти равноправно користе систем. Нова решења доводе до с</w:t>
      </w:r>
      <w:r w:rsidR="009E0DE4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>мањењ</w:t>
      </w:r>
      <w:r w:rsidR="0040524B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9E0DE4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0524B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оптерећења </w:t>
      </w:r>
      <w:r w:rsidR="009E0DE4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>административн</w:t>
      </w:r>
      <w:r w:rsidR="0040524B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r w:rsidR="009E0DE4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особљ</w:t>
      </w:r>
      <w:r w:rsidR="0040524B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9E0DE4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малим </w:t>
      </w:r>
      <w:r w:rsidR="0040524B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привредним субјектима, док а</w:t>
      </w:r>
      <w:r w:rsidR="009E0DE4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утоматизација и правовременост података смањују грешке у обрачуну </w:t>
      </w:r>
      <w:r w:rsidR="0040524B" w:rsidRPr="0040524B">
        <w:rPr>
          <w:rFonts w:ascii="Times New Roman" w:eastAsia="Times New Roman" w:hAnsi="Times New Roman" w:cs="Times New Roman"/>
          <w:sz w:val="24"/>
          <w:szCs w:val="24"/>
          <w:lang w:val="sr-Cyrl-RS"/>
        </w:rPr>
        <w:t>накнада зарада.</w:t>
      </w:r>
      <w:r w:rsid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6027C3" w:rsidRP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>Ов</w:t>
      </w:r>
      <w:r w:rsid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>а решења су</w:t>
      </w:r>
      <w:r w:rsidR="006027C3" w:rsidRP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посебно знач</w:t>
      </w:r>
      <w:r w:rsid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ајна за </w:t>
      </w:r>
      <w:r w:rsidR="006027C3" w:rsidRP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микро </w:t>
      </w:r>
      <w:r w:rsid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привредне субјекте</w:t>
      </w:r>
      <w:r w:rsidR="006027C3" w:rsidRP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</w:t>
      </w:r>
      <w:r w:rsid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6027C3" w:rsidRP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немају посебно особље за </w:t>
      </w:r>
      <w:r w:rsid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управљање људским ресурсима и </w:t>
      </w:r>
      <w:r w:rsidR="006027C3" w:rsidRP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којима је свака уштеда времена и ресурса од великог значаја</w:t>
      </w:r>
      <w:r w:rsid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>. Истовремено, п</w:t>
      </w:r>
      <w:r w:rsidR="006027C3" w:rsidRP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>релазак на е</w:t>
      </w:r>
      <w:r w:rsid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лектронску </w:t>
      </w:r>
      <w:r w:rsidR="006027C3" w:rsidRP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администрацију </w:t>
      </w:r>
      <w:r w:rsid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боловања </w:t>
      </w:r>
      <w:r w:rsidR="006027C3" w:rsidRP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представља реалну прилику за ММСП да унапреде унутрашње процесе и прилагоде се савременим стандардима управљања</w:t>
      </w:r>
      <w:r w:rsid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пословања</w:t>
      </w:r>
      <w:r w:rsidR="006027C3" w:rsidRP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bookmarkEnd w:id="4"/>
    </w:p>
    <w:p w14:paraId="01E1D233" w14:textId="5AF43468" w:rsidR="00F4263E" w:rsidRPr="002D4E67" w:rsidRDefault="0040524B" w:rsidP="006027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="009E0DE4"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>ади лакшег преласка</w:t>
      </w:r>
      <w:r w:rsidR="00971A2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нови систем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потребно је спровести п</w:t>
      </w:r>
      <w:r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>осебн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обук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комуникациј</w:t>
      </w:r>
      <w:r w:rsidR="00604E2A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ММСП</w:t>
      </w:r>
      <w:r w:rsidR="009E0DE4" w:rsidRPr="009E0DE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6027C3" w:rsidRP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>Подршка за ММСП</w:t>
      </w:r>
      <w:r w:rsid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може да се обезбеди </w:t>
      </w:r>
      <w:r w:rsidR="006027C3" w:rsidRP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>кроз водиче, видео упутства и бесплатну корисничку подршку</w:t>
      </w:r>
      <w:r w:rsid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6027C3" w:rsidRP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>путем комуникационе кампање и обука</w:t>
      </w:r>
      <w:r w:rsid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као и </w:t>
      </w:r>
      <w:r w:rsidR="006027C3" w:rsidRPr="006027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поједностављеним корисничким интерфејсом </w:t>
      </w:r>
      <w:r w:rsidR="006027C3" w:rsidRPr="002D4E67">
        <w:rPr>
          <w:rFonts w:ascii="Times New Roman" w:eastAsia="Times New Roman" w:hAnsi="Times New Roman" w:cs="Times New Roman"/>
          <w:sz w:val="24"/>
          <w:szCs w:val="24"/>
          <w:lang w:val="sr-Cyrl-RS"/>
        </w:rPr>
        <w:t>портала.</w:t>
      </w:r>
    </w:p>
    <w:p w14:paraId="4BD1B148" w14:textId="1D0AA157" w:rsidR="008767C2" w:rsidRPr="002D4E67" w:rsidRDefault="008767C2" w:rsidP="008767C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4E6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наставку, даје се табеларни преглед </w:t>
      </w:r>
      <w:r w:rsidRPr="002D4E67">
        <w:rPr>
          <w:rFonts w:ascii="Times New Roman" w:hAnsi="Times New Roman" w:cs="Times New Roman"/>
          <w:sz w:val="24"/>
          <w:szCs w:val="24"/>
          <w:lang w:val="sr-Cyrl-RS"/>
        </w:rPr>
        <w:t>утицаја овог закона закона на привредне субјекте према величини</w:t>
      </w:r>
      <w:r w:rsidR="005B18A7" w:rsidRPr="002D4E67">
        <w:rPr>
          <w:rFonts w:ascii="Times New Roman" w:hAnsi="Times New Roman" w:cs="Times New Roman"/>
          <w:sz w:val="24"/>
          <w:szCs w:val="24"/>
          <w:lang w:val="sr-Cyrl-RS"/>
        </w:rPr>
        <w:t>, са препорученим</w:t>
      </w:r>
      <w:r w:rsidRPr="002D4E67">
        <w:rPr>
          <w:rFonts w:ascii="Times New Roman" w:hAnsi="Times New Roman" w:cs="Times New Roman"/>
          <w:sz w:val="24"/>
          <w:szCs w:val="24"/>
          <w:lang w:val="sr-Cyrl-RS"/>
        </w:rPr>
        <w:t xml:space="preserve"> индикатори</w:t>
      </w:r>
      <w:r w:rsidR="005B18A7" w:rsidRPr="002D4E67"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Pr="002D4E67">
        <w:rPr>
          <w:rFonts w:ascii="Times New Roman" w:hAnsi="Times New Roman" w:cs="Times New Roman"/>
          <w:sz w:val="24"/>
          <w:szCs w:val="24"/>
          <w:lang w:val="sr-Cyrl-RS"/>
        </w:rPr>
        <w:t xml:space="preserve"> праћења</w:t>
      </w:r>
      <w:r w:rsidR="005B18A7" w:rsidRPr="002D4E6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68AF6B1" w14:textId="5470439E" w:rsidR="008767C2" w:rsidRPr="002D4E67" w:rsidRDefault="008767C2" w:rsidP="008767C2">
      <w:pPr>
        <w:pStyle w:val="Heading1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</w:pPr>
      <w:r w:rsidRPr="00A539F4"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  <w:t>Табела</w:t>
      </w:r>
      <w:r w:rsidR="00A539F4" w:rsidRPr="00A539F4"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  <w:t xml:space="preserve"> 6</w:t>
      </w:r>
      <w:r w:rsidRPr="00A539F4"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  <w:t xml:space="preserve">: Утицај </w:t>
      </w:r>
      <w:r w:rsidR="002D4E67" w:rsidRPr="00A539F4"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  <w:t>н</w:t>
      </w:r>
      <w:r w:rsidR="002D4E67"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  <w:t>ових решења</w:t>
      </w:r>
      <w:r w:rsidRPr="002D4E67"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  <w:t xml:space="preserve"> на привредне субјекте разврстан</w:t>
      </w:r>
      <w:r w:rsidR="00A539F4"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  <w:t>е</w:t>
      </w:r>
      <w:r w:rsidRPr="002D4E67"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  <w:t xml:space="preserve"> по величини</w:t>
      </w:r>
    </w:p>
    <w:p w14:paraId="20D2DEC8" w14:textId="77777777" w:rsidR="008767C2" w:rsidRPr="008767C2" w:rsidRDefault="008767C2" w:rsidP="008767C2">
      <w:pPr>
        <w:spacing w:after="0" w:line="240" w:lineRule="auto"/>
        <w:rPr>
          <w:lang w:val="sr-Cyrl-RS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956"/>
        <w:gridCol w:w="1898"/>
        <w:gridCol w:w="3271"/>
        <w:gridCol w:w="2651"/>
      </w:tblGrid>
      <w:tr w:rsidR="000F3862" w:rsidRPr="00077500" w14:paraId="35C6E96D" w14:textId="77777777" w:rsidTr="002D4E67">
        <w:tc>
          <w:tcPr>
            <w:tcW w:w="1956" w:type="dxa"/>
          </w:tcPr>
          <w:p w14:paraId="5C26B9F1" w14:textId="77777777" w:rsidR="008767C2" w:rsidRPr="00077500" w:rsidRDefault="008767C2" w:rsidP="009F3EF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b/>
                <w:bCs/>
                <w:sz w:val="23"/>
                <w:szCs w:val="23"/>
                <w:lang w:val="sr-Cyrl-RS"/>
              </w:rPr>
              <w:t>Категорија послодавца</w:t>
            </w:r>
          </w:p>
        </w:tc>
        <w:tc>
          <w:tcPr>
            <w:tcW w:w="1898" w:type="dxa"/>
          </w:tcPr>
          <w:p w14:paraId="54B843FE" w14:textId="77777777" w:rsidR="008767C2" w:rsidRPr="00077500" w:rsidRDefault="008767C2" w:rsidP="009F3EF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b/>
                <w:bCs/>
                <w:sz w:val="23"/>
                <w:szCs w:val="23"/>
                <w:lang w:val="sr-Cyrl-RS"/>
              </w:rPr>
              <w:t>Утицај увођења Е-боловања</w:t>
            </w:r>
          </w:p>
        </w:tc>
        <w:tc>
          <w:tcPr>
            <w:tcW w:w="3271" w:type="dxa"/>
          </w:tcPr>
          <w:p w14:paraId="3C154143" w14:textId="77777777" w:rsidR="008767C2" w:rsidRPr="00077500" w:rsidRDefault="008767C2" w:rsidP="009F3EF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b/>
                <w:bCs/>
                <w:sz w:val="23"/>
                <w:szCs w:val="23"/>
                <w:lang w:val="sr-Cyrl-RS"/>
              </w:rPr>
              <w:t>Примери ефеката</w:t>
            </w:r>
          </w:p>
        </w:tc>
        <w:tc>
          <w:tcPr>
            <w:tcW w:w="2651" w:type="dxa"/>
          </w:tcPr>
          <w:p w14:paraId="167586F4" w14:textId="77777777" w:rsidR="008767C2" w:rsidRPr="00077500" w:rsidRDefault="008767C2" w:rsidP="009F3EF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b/>
                <w:bCs/>
                <w:sz w:val="23"/>
                <w:szCs w:val="23"/>
                <w:lang w:val="sr-Cyrl-RS"/>
              </w:rPr>
              <w:t>Препоручени индикатори праћења</w:t>
            </w:r>
          </w:p>
        </w:tc>
      </w:tr>
      <w:tr w:rsidR="000F3862" w:rsidRPr="00077500" w14:paraId="2065D1A2" w14:textId="77777777" w:rsidTr="002D4E67">
        <w:tc>
          <w:tcPr>
            <w:tcW w:w="1956" w:type="dxa"/>
          </w:tcPr>
          <w:p w14:paraId="2AF5C993" w14:textId="77777777" w:rsidR="008767C2" w:rsidRPr="00077500" w:rsidRDefault="008767C2" w:rsidP="009F3EFB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Микро (1–9 запослених)</w:t>
            </w:r>
          </w:p>
        </w:tc>
        <w:tc>
          <w:tcPr>
            <w:tcW w:w="1898" w:type="dxa"/>
          </w:tcPr>
          <w:p w14:paraId="3242D11D" w14:textId="77777777" w:rsidR="008767C2" w:rsidRPr="00077500" w:rsidRDefault="008767C2" w:rsidP="009F3EFB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Високо позитиван</w:t>
            </w:r>
          </w:p>
        </w:tc>
        <w:tc>
          <w:tcPr>
            <w:tcW w:w="3271" w:type="dxa"/>
          </w:tcPr>
          <w:p w14:paraId="4DEF5F65" w14:textId="77777777" w:rsidR="005B18A7" w:rsidRPr="00077500" w:rsidRDefault="005B18A7" w:rsidP="00CD4D46">
            <w:pPr>
              <w:pStyle w:val="ListParagraph"/>
              <w:numPr>
                <w:ilvl w:val="0"/>
                <w:numId w:val="3"/>
              </w:numPr>
              <w:ind w:left="392" w:hanging="330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с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мањење потребе за физичком доставом докумената</w:t>
            </w:r>
          </w:p>
          <w:p w14:paraId="550ED055" w14:textId="77777777" w:rsidR="005B18A7" w:rsidRPr="00077500" w:rsidRDefault="005B18A7" w:rsidP="00CD4D46">
            <w:pPr>
              <w:pStyle w:val="ListParagraph"/>
              <w:numPr>
                <w:ilvl w:val="0"/>
                <w:numId w:val="3"/>
              </w:numPr>
              <w:ind w:left="392" w:hanging="330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к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оришћење портала РФЗО без трошкова</w:t>
            </w:r>
          </w:p>
          <w:p w14:paraId="485D0EAA" w14:textId="345B3EEC" w:rsidR="008767C2" w:rsidRPr="00077500" w:rsidRDefault="005B18A7" w:rsidP="00CD4D46">
            <w:pPr>
              <w:pStyle w:val="ListParagraph"/>
              <w:numPr>
                <w:ilvl w:val="0"/>
                <w:numId w:val="3"/>
              </w:numPr>
              <w:ind w:left="392" w:hanging="330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с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мањење радног оптерећења на власнику/администрацији</w:t>
            </w:r>
          </w:p>
        </w:tc>
        <w:tc>
          <w:tcPr>
            <w:tcW w:w="2651" w:type="dxa"/>
          </w:tcPr>
          <w:p w14:paraId="5A178E66" w14:textId="77777777" w:rsidR="002D4E67" w:rsidRPr="00077500" w:rsidRDefault="002D4E67" w:rsidP="00CD4D46">
            <w:pPr>
              <w:pStyle w:val="ListParagraph"/>
              <w:numPr>
                <w:ilvl w:val="0"/>
                <w:numId w:val="3"/>
              </w:numPr>
              <w:ind w:left="269" w:hanging="142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процеат (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%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)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микро субјеката који користе систе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м</w:t>
            </w:r>
          </w:p>
          <w:p w14:paraId="037B0E4F" w14:textId="77777777" w:rsidR="002D4E67" w:rsidRPr="00077500" w:rsidRDefault="002D4E67" w:rsidP="00CD4D46">
            <w:pPr>
              <w:pStyle w:val="ListParagraph"/>
              <w:numPr>
                <w:ilvl w:val="0"/>
                <w:numId w:val="3"/>
              </w:numPr>
              <w:ind w:left="269" w:hanging="142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п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росечно време за пријаву боловања</w:t>
            </w:r>
          </w:p>
          <w:p w14:paraId="35087463" w14:textId="22E09C6E" w:rsidR="008767C2" w:rsidRPr="00077500" w:rsidRDefault="002D4E67" w:rsidP="00CD4D46">
            <w:pPr>
              <w:pStyle w:val="ListParagraph"/>
              <w:numPr>
                <w:ilvl w:val="0"/>
                <w:numId w:val="3"/>
              </w:numPr>
              <w:ind w:left="269" w:hanging="142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б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рој приговора и захтева за подршку</w:t>
            </w:r>
          </w:p>
        </w:tc>
      </w:tr>
      <w:tr w:rsidR="000F3862" w:rsidRPr="00077500" w14:paraId="339AD56F" w14:textId="77777777" w:rsidTr="002D4E67">
        <w:tc>
          <w:tcPr>
            <w:tcW w:w="1956" w:type="dxa"/>
          </w:tcPr>
          <w:p w14:paraId="7D27FB41" w14:textId="62F828EB" w:rsidR="008767C2" w:rsidRPr="00077500" w:rsidRDefault="008767C2" w:rsidP="009F3EFB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Мали (10–49</w:t>
            </w:r>
            <w:r w:rsidR="005B18A7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запослених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)</w:t>
            </w:r>
          </w:p>
        </w:tc>
        <w:tc>
          <w:tcPr>
            <w:tcW w:w="1898" w:type="dxa"/>
          </w:tcPr>
          <w:p w14:paraId="01DEF0CA" w14:textId="2F502757" w:rsidR="008767C2" w:rsidRPr="00077500" w:rsidRDefault="000F3862" w:rsidP="009F3EFB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Високо п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озитиван</w:t>
            </w:r>
          </w:p>
        </w:tc>
        <w:tc>
          <w:tcPr>
            <w:tcW w:w="3271" w:type="dxa"/>
          </w:tcPr>
          <w:p w14:paraId="4E8C1FD6" w14:textId="77777777" w:rsidR="005B18A7" w:rsidRPr="00077500" w:rsidRDefault="005B18A7" w:rsidP="00CD4D46">
            <w:pPr>
              <w:pStyle w:val="ListParagraph"/>
              <w:numPr>
                <w:ilvl w:val="0"/>
                <w:numId w:val="4"/>
              </w:numPr>
              <w:ind w:left="346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а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утоматизација без ИТ интеграције</w:t>
            </w:r>
          </w:p>
          <w:p w14:paraId="0005682D" w14:textId="6EA4C040" w:rsidR="005B18A7" w:rsidRPr="00077500" w:rsidRDefault="005B18A7" w:rsidP="00CD4D46">
            <w:pPr>
              <w:pStyle w:val="ListParagraph"/>
              <w:numPr>
                <w:ilvl w:val="0"/>
                <w:numId w:val="4"/>
              </w:numPr>
              <w:ind w:left="346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ј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едноставан прелаза</w:t>
            </w:r>
            <w:r w:rsidR="000F386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к на нови систем</w:t>
            </w:r>
          </w:p>
          <w:p w14:paraId="60C838BE" w14:textId="6FEB4A6D" w:rsidR="008767C2" w:rsidRPr="00077500" w:rsidRDefault="005B18A7" w:rsidP="00CD4D46">
            <w:pPr>
              <w:pStyle w:val="ListParagraph"/>
              <w:numPr>
                <w:ilvl w:val="0"/>
                <w:numId w:val="4"/>
              </w:numPr>
              <w:ind w:left="346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у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штеде на уносима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, складиштењу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и архиви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рању</w:t>
            </w:r>
          </w:p>
        </w:tc>
        <w:tc>
          <w:tcPr>
            <w:tcW w:w="2651" w:type="dxa"/>
          </w:tcPr>
          <w:p w14:paraId="2865C80F" w14:textId="77777777" w:rsidR="005B18A7" w:rsidRPr="00077500" w:rsidRDefault="005B18A7" w:rsidP="00CD4D46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ind w:left="262" w:hanging="195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проценат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(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%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)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покривености у примени</w:t>
            </w:r>
          </w:p>
          <w:p w14:paraId="242BFEBD" w14:textId="77777777" w:rsidR="005B18A7" w:rsidRPr="00077500" w:rsidRDefault="005B18A7" w:rsidP="00CD4D46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ind w:left="262" w:hanging="195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п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росечан број боловања обрађен путем 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новог 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система</w:t>
            </w:r>
          </w:p>
          <w:p w14:paraId="7C35B62D" w14:textId="59C4E047" w:rsidR="008767C2" w:rsidRPr="00077500" w:rsidRDefault="005B18A7" w:rsidP="00CD4D46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ind w:left="262" w:hanging="195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ндекс уштеде по случају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боловања</w:t>
            </w:r>
          </w:p>
        </w:tc>
      </w:tr>
      <w:tr w:rsidR="000F3862" w:rsidRPr="00077500" w14:paraId="3494DB6E" w14:textId="77777777" w:rsidTr="002D4E67">
        <w:tc>
          <w:tcPr>
            <w:tcW w:w="1956" w:type="dxa"/>
          </w:tcPr>
          <w:p w14:paraId="55FACB2E" w14:textId="652AA7D7" w:rsidR="008767C2" w:rsidRPr="00077500" w:rsidRDefault="008767C2" w:rsidP="009F3EFB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Средњи (50–249</w:t>
            </w:r>
            <w:r w:rsidR="005B18A7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запослених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)</w:t>
            </w:r>
          </w:p>
        </w:tc>
        <w:tc>
          <w:tcPr>
            <w:tcW w:w="1898" w:type="dxa"/>
          </w:tcPr>
          <w:p w14:paraId="115184F9" w14:textId="36EE989F" w:rsidR="008767C2" w:rsidRPr="00077500" w:rsidRDefault="008767C2" w:rsidP="009F3EFB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В</w:t>
            </w:r>
            <w:r w:rsidR="000F386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исоко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позитиван</w:t>
            </w:r>
          </w:p>
        </w:tc>
        <w:tc>
          <w:tcPr>
            <w:tcW w:w="3271" w:type="dxa"/>
          </w:tcPr>
          <w:p w14:paraId="11CF8BC7" w14:textId="77777777" w:rsidR="000F3862" w:rsidRPr="00077500" w:rsidRDefault="000F3862" w:rsidP="00CD4D46">
            <w:pPr>
              <w:pStyle w:val="ListParagraph"/>
              <w:numPr>
                <w:ilvl w:val="0"/>
                <w:numId w:val="6"/>
              </w:numPr>
              <w:ind w:left="346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с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мањење интерних трошкова администрације</w:t>
            </w:r>
          </w:p>
          <w:p w14:paraId="53180FCB" w14:textId="77777777" w:rsidR="000F3862" w:rsidRPr="00077500" w:rsidRDefault="000F3862" w:rsidP="00CD4D46">
            <w:pPr>
              <w:pStyle w:val="ListParagraph"/>
              <w:numPr>
                <w:ilvl w:val="0"/>
                <w:numId w:val="6"/>
              </w:numPr>
              <w:ind w:left="346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ј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ачање контроле одсустава</w:t>
            </w:r>
          </w:p>
          <w:p w14:paraId="7F66EF16" w14:textId="41E324BE" w:rsidR="008767C2" w:rsidRPr="00077500" w:rsidRDefault="000F3862" w:rsidP="00CD4D46">
            <w:pPr>
              <w:pStyle w:val="ListParagraph"/>
              <w:numPr>
                <w:ilvl w:val="0"/>
                <w:numId w:val="6"/>
              </w:numPr>
              <w:ind w:left="346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в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иши ниво дигитализације у процесима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управљања људским ресурсима</w:t>
            </w:r>
          </w:p>
        </w:tc>
        <w:tc>
          <w:tcPr>
            <w:tcW w:w="2651" w:type="dxa"/>
          </w:tcPr>
          <w:p w14:paraId="130E6C67" w14:textId="77777777" w:rsidR="00BB1DF6" w:rsidRPr="00077500" w:rsidRDefault="001A79A4" w:rsidP="00CD4D46">
            <w:pPr>
              <w:pStyle w:val="ListParagraph"/>
              <w:numPr>
                <w:ilvl w:val="0"/>
                <w:numId w:val="9"/>
              </w:numPr>
              <w:ind w:left="316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п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росечан број уште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ђ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ених сати административног рада</w:t>
            </w:r>
          </w:p>
          <w:p w14:paraId="0465A09F" w14:textId="77777777" w:rsidR="00BB1DF6" w:rsidRPr="00077500" w:rsidRDefault="00BB1DF6" w:rsidP="00CD4D46">
            <w:pPr>
              <w:pStyle w:val="ListParagraph"/>
              <w:numPr>
                <w:ilvl w:val="0"/>
                <w:numId w:val="9"/>
              </w:numPr>
              <w:ind w:left="316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б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рој интегрисаних софтверских решења</w:t>
            </w:r>
          </w:p>
          <w:p w14:paraId="2AEF2CC2" w14:textId="78038DF8" w:rsidR="008767C2" w:rsidRPr="00077500" w:rsidRDefault="00BB1DF6" w:rsidP="00CD4D46">
            <w:pPr>
              <w:pStyle w:val="ListParagraph"/>
              <w:numPr>
                <w:ilvl w:val="0"/>
                <w:numId w:val="9"/>
              </w:numPr>
              <w:ind w:left="316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проценат (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%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) 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података обрађених аутоматски</w:t>
            </w:r>
          </w:p>
        </w:tc>
      </w:tr>
      <w:tr w:rsidR="000F3862" w:rsidRPr="00077500" w14:paraId="392B9016" w14:textId="77777777" w:rsidTr="002D4E67">
        <w:tc>
          <w:tcPr>
            <w:tcW w:w="1956" w:type="dxa"/>
          </w:tcPr>
          <w:p w14:paraId="4DB2D357" w14:textId="611B7B9B" w:rsidR="008767C2" w:rsidRPr="00077500" w:rsidRDefault="008767C2" w:rsidP="009F3EFB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Велики (250</w:t>
            </w:r>
            <w:r w:rsidR="005B18A7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+ запослених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)</w:t>
            </w:r>
          </w:p>
        </w:tc>
        <w:tc>
          <w:tcPr>
            <w:tcW w:w="1898" w:type="dxa"/>
          </w:tcPr>
          <w:p w14:paraId="60629C47" w14:textId="77777777" w:rsidR="008767C2" w:rsidRPr="00077500" w:rsidRDefault="008767C2" w:rsidP="009F3EFB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Високо позитиван</w:t>
            </w:r>
          </w:p>
        </w:tc>
        <w:tc>
          <w:tcPr>
            <w:tcW w:w="3271" w:type="dxa"/>
          </w:tcPr>
          <w:p w14:paraId="3B5B96F2" w14:textId="77777777" w:rsidR="000F3862" w:rsidRPr="00077500" w:rsidRDefault="000F3862" w:rsidP="00CD4D46">
            <w:pPr>
              <w:pStyle w:val="ListParagraph"/>
              <w:numPr>
                <w:ilvl w:val="0"/>
                <w:numId w:val="5"/>
              </w:numPr>
              <w:ind w:left="346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ц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ентрализација евиденције и извештавања</w:t>
            </w:r>
          </w:p>
          <w:p w14:paraId="2785E1C3" w14:textId="77777777" w:rsidR="000F3862" w:rsidRPr="00077500" w:rsidRDefault="000F3862" w:rsidP="00CD4D46">
            <w:pPr>
              <w:pStyle w:val="ListParagraph"/>
              <w:numPr>
                <w:ilvl w:val="0"/>
                <w:numId w:val="5"/>
              </w:numPr>
              <w:ind w:left="346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с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мањење злоупотреба и дуплих пријава</w:t>
            </w:r>
          </w:p>
          <w:p w14:paraId="42122A4E" w14:textId="666D700A" w:rsidR="008767C2" w:rsidRPr="00077500" w:rsidRDefault="000F3862" w:rsidP="00CD4D46">
            <w:pPr>
              <w:pStyle w:val="ListParagraph"/>
              <w:numPr>
                <w:ilvl w:val="0"/>
                <w:numId w:val="5"/>
              </w:numPr>
              <w:ind w:left="346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и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нтероперабилност са 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системима за управљање људским ресурсима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и платним системима</w:t>
            </w:r>
          </w:p>
        </w:tc>
        <w:tc>
          <w:tcPr>
            <w:tcW w:w="2651" w:type="dxa"/>
          </w:tcPr>
          <w:p w14:paraId="6C9958B3" w14:textId="77777777" w:rsidR="002D4E67" w:rsidRPr="00077500" w:rsidRDefault="002D4E67" w:rsidP="00CD4D46">
            <w:pPr>
              <w:pStyle w:val="ListParagraph"/>
              <w:numPr>
                <w:ilvl w:val="0"/>
                <w:numId w:val="8"/>
              </w:numPr>
              <w:ind w:left="427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с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тепен интеграције са постојећим ERP/HR системима</w:t>
            </w:r>
          </w:p>
          <w:p w14:paraId="559C94D7" w14:textId="77777777" w:rsidR="002D4E67" w:rsidRPr="00077500" w:rsidRDefault="002D4E67" w:rsidP="00CD4D46">
            <w:pPr>
              <w:pStyle w:val="ListParagraph"/>
              <w:numPr>
                <w:ilvl w:val="0"/>
                <w:numId w:val="8"/>
              </w:numPr>
              <w:ind w:left="427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с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мањење интерних процедура за контролу боловања</w:t>
            </w:r>
          </w:p>
          <w:p w14:paraId="4DEDDC5C" w14:textId="7306EA52" w:rsidR="008767C2" w:rsidRPr="00077500" w:rsidRDefault="002D4E67" w:rsidP="00CD4D46">
            <w:pPr>
              <w:pStyle w:val="ListParagraph"/>
              <w:numPr>
                <w:ilvl w:val="0"/>
                <w:numId w:val="8"/>
              </w:numPr>
              <w:ind w:left="427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п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росечно време од пријаве до обраде</w:t>
            </w:r>
          </w:p>
        </w:tc>
      </w:tr>
      <w:tr w:rsidR="000F3862" w:rsidRPr="00077500" w14:paraId="46D3AA01" w14:textId="77777777" w:rsidTr="002D4E67">
        <w:tc>
          <w:tcPr>
            <w:tcW w:w="1956" w:type="dxa"/>
          </w:tcPr>
          <w:p w14:paraId="57436D97" w14:textId="77777777" w:rsidR="008767C2" w:rsidRPr="00077500" w:rsidRDefault="008767C2" w:rsidP="009F3EFB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Јавни сектор</w:t>
            </w:r>
          </w:p>
        </w:tc>
        <w:tc>
          <w:tcPr>
            <w:tcW w:w="1898" w:type="dxa"/>
          </w:tcPr>
          <w:p w14:paraId="50D00C47" w14:textId="6648CFDC" w:rsidR="008767C2" w:rsidRPr="00077500" w:rsidRDefault="001A79A4" w:rsidP="009F3EFB">
            <w:pP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Високо п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озитиван</w:t>
            </w:r>
          </w:p>
        </w:tc>
        <w:tc>
          <w:tcPr>
            <w:tcW w:w="3271" w:type="dxa"/>
          </w:tcPr>
          <w:p w14:paraId="23D7AD36" w14:textId="77777777" w:rsidR="001A79A4" w:rsidRPr="00077500" w:rsidRDefault="000F3862" w:rsidP="00CD4D46">
            <w:pPr>
              <w:pStyle w:val="ListParagraph"/>
              <w:numPr>
                <w:ilvl w:val="0"/>
                <w:numId w:val="7"/>
              </w:numPr>
              <w:ind w:left="346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с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мањење оптерећења на кадровске службе</w:t>
            </w:r>
          </w:p>
          <w:p w14:paraId="5873D223" w14:textId="11271752" w:rsidR="008767C2" w:rsidRPr="00077500" w:rsidRDefault="008767C2" w:rsidP="00CD4D46">
            <w:pPr>
              <w:pStyle w:val="ListParagraph"/>
              <w:numPr>
                <w:ilvl w:val="0"/>
                <w:numId w:val="7"/>
              </w:numPr>
              <w:ind w:left="346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правовременост и правна сигурност</w:t>
            </w:r>
          </w:p>
        </w:tc>
        <w:tc>
          <w:tcPr>
            <w:tcW w:w="2651" w:type="dxa"/>
          </w:tcPr>
          <w:p w14:paraId="108E870F" w14:textId="77777777" w:rsidR="002D4E67" w:rsidRPr="00077500" w:rsidRDefault="002D4E67" w:rsidP="00CD4D46">
            <w:pPr>
              <w:pStyle w:val="ListParagraph"/>
              <w:numPr>
                <w:ilvl w:val="0"/>
                <w:numId w:val="8"/>
              </w:numPr>
              <w:ind w:left="464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просечан број уштеђених сати административног рада</w:t>
            </w:r>
          </w:p>
          <w:p w14:paraId="54930439" w14:textId="77777777" w:rsidR="002D4E67" w:rsidRPr="00077500" w:rsidRDefault="002D4E67" w:rsidP="00CD4D46">
            <w:pPr>
              <w:pStyle w:val="ListParagraph"/>
              <w:numPr>
                <w:ilvl w:val="0"/>
                <w:numId w:val="8"/>
              </w:numPr>
              <w:ind w:left="427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п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оређење броја пријава пре</w:t>
            </w: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 и 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после дигитализације</w:t>
            </w:r>
          </w:p>
          <w:p w14:paraId="6E517A74" w14:textId="2715D3D4" w:rsidR="008767C2" w:rsidRPr="00077500" w:rsidRDefault="002D4E67" w:rsidP="00CD4D46">
            <w:pPr>
              <w:pStyle w:val="ListParagraph"/>
              <w:numPr>
                <w:ilvl w:val="0"/>
                <w:numId w:val="8"/>
              </w:numPr>
              <w:ind w:left="427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б</w:t>
            </w:r>
            <w:r w:rsidR="008767C2" w:rsidRPr="00077500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рој корисничких пријава у систему</w:t>
            </w:r>
          </w:p>
        </w:tc>
      </w:tr>
    </w:tbl>
    <w:p w14:paraId="4B319C1A" w14:textId="77777777" w:rsidR="0061027B" w:rsidRDefault="0061027B" w:rsidP="00F0351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63BC0D9F" w14:textId="33DD4876" w:rsidR="00CA64AF" w:rsidRPr="00CA64AF" w:rsidRDefault="00CA64AF" w:rsidP="00F0351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A64A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5. Анализа ефеката на друштво</w:t>
      </w:r>
    </w:p>
    <w:p w14:paraId="1C208AFC" w14:textId="77777777" w:rsidR="008E6EBD" w:rsidRDefault="008E6EBD" w:rsidP="00BB6F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bookmarkStart w:id="5" w:name="_Hlk207022088"/>
      <w:r w:rsidRPr="008E6EB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1) Да ли се предложеним решењима прописа уводи нови, укида или мења постојећи административни поступак за грађане и који су позитивни ефекти овог решења?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грађани? </w:t>
      </w:r>
    </w:p>
    <w:p w14:paraId="3E543421" w14:textId="073910F5" w:rsidR="00BB6F16" w:rsidRPr="00BB6F16" w:rsidRDefault="00BB6F16" w:rsidP="00BB6F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B6F16">
        <w:rPr>
          <w:rFonts w:ascii="Times New Roman" w:eastAsia="Times New Roman" w:hAnsi="Times New Roman" w:cs="Times New Roman"/>
          <w:sz w:val="24"/>
          <w:szCs w:val="24"/>
          <w:lang w:val="sr-Cyrl-RS"/>
        </w:rPr>
        <w:t>Увођењем електронског система „Е-боловање</w:t>
      </w:r>
      <w:r w:rsidR="000843D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B6F16">
        <w:rPr>
          <w:rFonts w:ascii="Times New Roman" w:eastAsia="Times New Roman" w:hAnsi="Times New Roman" w:cs="Times New Roman"/>
          <w:sz w:val="24"/>
          <w:szCs w:val="24"/>
          <w:lang w:val="sr-Cyrl-RS"/>
        </w:rPr>
        <w:t>- Послодавац</w:t>
      </w:r>
      <w:r w:rsidR="000843DE" w:rsidRPr="00BB6F16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BB6F1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укида се више постојећих административних поступака за грађане, који су до сада представљали значајно оптерећење у погледу времена, трошкова и правне сигурности. Између осталог, електронским путем се укида </w:t>
      </w:r>
      <w:bookmarkStart w:id="6" w:name="_Hlk207018537"/>
      <w:r w:rsidRPr="00BB6F1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физичко преузимање потврде о боловању и дознаке од изабраног лекара, лично достављање папирне документације послодавцу, поновни долазак у здравствену установу у случају исправке, продужења боловања или допуне, </w:t>
      </w:r>
      <w:r w:rsidR="00A04C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те </w:t>
      </w:r>
      <w:r w:rsidRPr="00BB6F16">
        <w:rPr>
          <w:rFonts w:ascii="Times New Roman" w:eastAsia="Times New Roman" w:hAnsi="Times New Roman" w:cs="Times New Roman"/>
          <w:sz w:val="24"/>
          <w:szCs w:val="24"/>
          <w:lang w:val="sr-Cyrl-RS"/>
        </w:rPr>
        <w:t>чување и архивирање папирних докумената.</w:t>
      </w:r>
    </w:p>
    <w:bookmarkEnd w:id="6"/>
    <w:p w14:paraId="3F60A87C" w14:textId="6CEA8799" w:rsidR="00BB6F16" w:rsidRPr="00BB6F16" w:rsidRDefault="00BB6F16" w:rsidP="00BB6F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B6F16">
        <w:rPr>
          <w:rFonts w:ascii="Times New Roman" w:eastAsia="Times New Roman" w:hAnsi="Times New Roman" w:cs="Times New Roman"/>
          <w:sz w:val="24"/>
          <w:szCs w:val="24"/>
          <w:lang w:val="sr-Cyrl-RS"/>
        </w:rPr>
        <w:t>Позитивни ефекти за грађане огледају се у уштеди времена и новца, јер грађани више не морају да лично долазе да преузму и доставе папирне документе, а прелазак на електронски канал комуникације смањује потребу за одсуствовањем с посла или напуштањем куће током болести, што има директне ефекте на квалитет живота. Долази и до смањења административног терета, јер грађани више не морају да прате ток докумената, нити да се појављују лично ради исправке или допуне. Ово је посебно значајно за грађане који живе у руралним или мање приступачним подручјима, као и за старија и хронично оболела лица. Позитиван ефекат је и правовременост и транспарентност, јер се по новом режиму обавештавање послодавца спроводи аутоматски и без кашњења, а увид у статус и трајање боловања омогућени су у реалном времену, што повећава поверење у систем и умањује ризик од губитка накнаде.</w:t>
      </w:r>
    </w:p>
    <w:p w14:paraId="7E79C5D0" w14:textId="74DE618E" w:rsidR="00CA64AF" w:rsidRPr="00CA64AF" w:rsidRDefault="00BB6F16" w:rsidP="005246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B6F16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основу процена о трошку појединачног случаја боловања који укључује пут до здравствене установе (просек 250 - 500 динара), изгубљено време за долазак/чекање/доставу (еквивалент дневнице или радних сати) и трошкове папира, архиве и евентуалне накнадне посете, може се закључити да је просечан административни трошак за грађанина од 600 до 1.200 динара по случају боловања. Увођењем новог система, укидањем свих ових радњи и омогућавањем електронске обраде, очекује се уманење административних трошкова за грађане од најмање 50%, а потенцијално и више од 70%, у зависности од локације и обима интервенција</w:t>
      </w:r>
      <w:r w:rsidR="00191A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CA64AF" w:rsidRPr="00CA64A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што је </w:t>
      </w:r>
      <w:r w:rsidR="00191AEC">
        <w:rPr>
          <w:rFonts w:ascii="Times New Roman" w:eastAsia="Times New Roman" w:hAnsi="Times New Roman" w:cs="Times New Roman"/>
          <w:sz w:val="24"/>
          <w:szCs w:val="24"/>
          <w:lang w:val="sr-Cyrl-RS"/>
        </w:rPr>
        <w:t>веома</w:t>
      </w:r>
      <w:r w:rsidR="00CA64AF" w:rsidRPr="00CA64A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значајно за радно способно становништво.</w:t>
      </w:r>
    </w:p>
    <w:bookmarkEnd w:id="5"/>
    <w:p w14:paraId="630CB0F6" w14:textId="77777777" w:rsidR="008E6EBD" w:rsidRDefault="008E6EBD" w:rsidP="00191A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8E6EB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2) Да ли се предложеним решењима прописа уводи нова, мења или укида постојећа финансијска обавеза за грађане?</w:t>
      </w:r>
    </w:p>
    <w:p w14:paraId="070E7734" w14:textId="56F729D5" w:rsidR="00CA64AF" w:rsidRPr="00CA64AF" w:rsidRDefault="00CA64AF" w:rsidP="00191A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A64A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Предложени закон </w:t>
      </w:r>
      <w:r w:rsidRPr="00191AEC">
        <w:rPr>
          <w:rFonts w:ascii="Times New Roman" w:eastAsia="Times New Roman" w:hAnsi="Times New Roman" w:cs="Times New Roman"/>
          <w:sz w:val="24"/>
          <w:szCs w:val="24"/>
          <w:lang w:val="sr-Cyrl-RS"/>
        </w:rPr>
        <w:t>не уводи финансијске обавезе за грађане</w:t>
      </w:r>
      <w:r w:rsidRPr="00CA64A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Употреба система је бесплатна, </w:t>
      </w:r>
      <w:r w:rsidR="00191AEC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CA64A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сва размена података врши се у оквиру постојећег система обавезног здравственог осигурања.</w:t>
      </w:r>
    </w:p>
    <w:p w14:paraId="09491BE2" w14:textId="77777777" w:rsidR="00763758" w:rsidRDefault="00763758" w:rsidP="00A965A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763758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3) Да ли се предложеним решењима прописа уводи нова, мења или укида постојећа обавеза која утиче на трошкове живота?</w:t>
      </w:r>
    </w:p>
    <w:p w14:paraId="5D14DD28" w14:textId="353D3C8F" w:rsidR="00A965A5" w:rsidRPr="00A965A5" w:rsidRDefault="00A965A5" w:rsidP="00A965A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965A5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 нема директан утицај на цене производа и услуга, односно на трошкове живота грађана у класичном смислу (цене хране, енергената, кирије и сл). Ипак, увођењем електронског система за размену података о привременој спречености за рад, постижу се бројни посредни позитивни ефекти који утичу на економску сигурност домаћинстава, посебно у осетљивим ситуацијама као што је болест.</w:t>
      </w:r>
    </w:p>
    <w:p w14:paraId="7A4C10CC" w14:textId="77777777" w:rsidR="00A965A5" w:rsidRPr="00A965A5" w:rsidRDefault="00A965A5" w:rsidP="00A965A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965A5">
        <w:rPr>
          <w:rFonts w:ascii="Times New Roman" w:eastAsia="Times New Roman" w:hAnsi="Times New Roman" w:cs="Times New Roman"/>
          <w:sz w:val="24"/>
          <w:szCs w:val="24"/>
          <w:lang w:val="sr-Cyrl-RS"/>
        </w:rPr>
        <w:t>Позитивни ефекти огледају се у бржој обради података и смањењу кашњења у исплати накнада за боловање, што директно утиче на новчани ток домаћинства у периоду када је члан породице одсутан с посла. Долази и до мањег губљења радног времена услед непотребног доласка ради преузимања и доставе докумената, што доводи до мањих губитака прихода, посебно код запослених у производњи, на терену или код самозапослених лица. Постиже се и боља финансијска предвидивост и управљање приходима током периода привремене спречености за рад, с обзиром на то да се накнада исплаћује на основу благовремено обрађених и тачних података. Не треба заборавити и смањење психолошког стреса и административног оптерећења за болесну особу и њену породицу, што доприноси укупној стабилности домаћинства.</w:t>
      </w:r>
    </w:p>
    <w:p w14:paraId="151466B6" w14:textId="44688323" w:rsidR="00CA64AF" w:rsidRPr="00CA64AF" w:rsidRDefault="00763758" w:rsidP="00A965A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763758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4) На који начин предложена решења прописа утичу на доступност, квалитет и цене роба и услуга од значаја за животни стандард становништва?</w:t>
      </w:r>
    </w:p>
    <w:p w14:paraId="3E670E02" w14:textId="053A98E5" w:rsidR="00A965A5" w:rsidRPr="00A0499A" w:rsidRDefault="00A965A5" w:rsidP="00A0499A">
      <w:pPr>
        <w:pStyle w:val="NormalWeb"/>
        <w:jc w:val="both"/>
        <w:rPr>
          <w:lang w:val="sr-Cyrl-RS"/>
        </w:rPr>
      </w:pPr>
      <w:r w:rsidRPr="00A0499A">
        <w:rPr>
          <w:rStyle w:val="Strong"/>
          <w:b w:val="0"/>
          <w:bCs w:val="0"/>
          <w:lang w:val="sr-Cyrl-RS"/>
        </w:rPr>
        <w:t>Иако предложени закон нема директан утицај на цене добара и услуга у класичном смислу</w:t>
      </w:r>
      <w:r w:rsidRPr="00A0499A">
        <w:rPr>
          <w:lang w:val="sr-Cyrl-RS"/>
        </w:rPr>
        <w:t xml:space="preserve">, имплементација информационог система </w:t>
      </w:r>
      <w:r w:rsidR="00A00CD0">
        <w:rPr>
          <w:lang w:val="sr-Cyrl-RS"/>
        </w:rPr>
        <w:t>„</w:t>
      </w:r>
      <w:r w:rsidR="00212671">
        <w:rPr>
          <w:lang w:val="sr-Cyrl-RS"/>
        </w:rPr>
        <w:t>Е-боловање - Послодавац”</w:t>
      </w:r>
      <w:r w:rsidRPr="00A0499A">
        <w:rPr>
          <w:lang w:val="sr-Cyrl-RS"/>
        </w:rPr>
        <w:t xml:space="preserve"> </w:t>
      </w:r>
      <w:r w:rsidRPr="00A0499A">
        <w:rPr>
          <w:rStyle w:val="Strong"/>
          <w:b w:val="0"/>
          <w:bCs w:val="0"/>
          <w:lang w:val="sr-Cyrl-RS"/>
        </w:rPr>
        <w:t>значајно унапређује доступност и квалитет услуга у јавном здравству и код послодаваца</w:t>
      </w:r>
      <w:r w:rsidRPr="00A0499A">
        <w:rPr>
          <w:lang w:val="sr-Cyrl-RS"/>
        </w:rPr>
        <w:t>, нарочито у области кадровске евиденције и управљања људским ресурсима.</w:t>
      </w:r>
    </w:p>
    <w:p w14:paraId="4D49CFBD" w14:textId="77777777" w:rsidR="00A965A5" w:rsidRPr="00A0499A" w:rsidRDefault="00A965A5" w:rsidP="00A0499A">
      <w:pPr>
        <w:pStyle w:val="NormalWeb"/>
        <w:jc w:val="both"/>
        <w:rPr>
          <w:lang w:val="sr-Cyrl-RS"/>
        </w:rPr>
      </w:pPr>
      <w:r w:rsidRPr="00A0499A">
        <w:rPr>
          <w:lang w:val="sr-Cyrl-RS"/>
        </w:rPr>
        <w:t>Позитивни ефекти се састоје у с</w:t>
      </w:r>
      <w:r w:rsidRPr="00A0499A">
        <w:rPr>
          <w:rStyle w:val="Strong"/>
          <w:b w:val="0"/>
          <w:bCs w:val="0"/>
          <w:lang w:val="sr-Cyrl-RS"/>
        </w:rPr>
        <w:t>мањењу административног оптерећења у здравственом систему</w:t>
      </w:r>
      <w:r w:rsidRPr="00A0499A">
        <w:rPr>
          <w:lang w:val="sr-Cyrl-RS"/>
        </w:rPr>
        <w:t>, што омогућава боље коришћење расположивих кадровских и организационих ресурса, и о</w:t>
      </w:r>
      <w:r w:rsidRPr="00A0499A">
        <w:rPr>
          <w:rStyle w:val="Strong"/>
          <w:b w:val="0"/>
          <w:bCs w:val="0"/>
          <w:lang w:val="sr-Cyrl-RS"/>
        </w:rPr>
        <w:t>слобађању времена изабраних лекара</w:t>
      </w:r>
      <w:r w:rsidRPr="00A0499A">
        <w:rPr>
          <w:lang w:val="sr-Cyrl-RS"/>
        </w:rPr>
        <w:t xml:space="preserve"> од рада са папирима и административних поступака, што омогућава већи фокус на здравствену заштиту пацијената. Истовремено, п</w:t>
      </w:r>
      <w:r w:rsidRPr="00A0499A">
        <w:rPr>
          <w:rStyle w:val="Strong"/>
          <w:b w:val="0"/>
          <w:bCs w:val="0"/>
          <w:lang w:val="sr-Cyrl-RS"/>
        </w:rPr>
        <w:t>овећава се доступност информација у реалном времену</w:t>
      </w:r>
      <w:r w:rsidRPr="00A0499A">
        <w:rPr>
          <w:lang w:val="sr-Cyrl-RS"/>
        </w:rPr>
        <w:t xml:space="preserve"> свим учесницима у систему – пацијентима/запосленима, послодавцима и РФЗО, што води ка бржој реакцији, бољем управљању одсуствима и смањењу ризика од злоупотреба. Долази и до с</w:t>
      </w:r>
      <w:r w:rsidRPr="00A0499A">
        <w:rPr>
          <w:rStyle w:val="Strong"/>
          <w:b w:val="0"/>
          <w:bCs w:val="0"/>
          <w:lang w:val="sr-Cyrl-RS"/>
        </w:rPr>
        <w:t>мањења броја физичких долазака пацијената</w:t>
      </w:r>
      <w:r w:rsidRPr="00A0499A">
        <w:rPr>
          <w:lang w:val="sr-Cyrl-RS"/>
        </w:rPr>
        <w:t xml:space="preserve"> ради преузимања, исправки или доставе докумената, што има позитиван ефекат на оптерећеност здравствених установа. Нова решења, такође, омогућавају о</w:t>
      </w:r>
      <w:r w:rsidRPr="00A0499A">
        <w:rPr>
          <w:rStyle w:val="Strong"/>
          <w:b w:val="0"/>
          <w:bCs w:val="0"/>
          <w:lang w:val="sr-Cyrl-RS"/>
        </w:rPr>
        <w:t>лакшан надзор и аналитику</w:t>
      </w:r>
      <w:r w:rsidRPr="00A0499A">
        <w:rPr>
          <w:lang w:val="sr-Cyrl-RS"/>
        </w:rPr>
        <w:t>, јер систем омогућава централизовано прикупљање, упоредивост и обраду података, што је предуслов за унапређење политика јавног здравља и социјалне заштите.</w:t>
      </w:r>
    </w:p>
    <w:p w14:paraId="4BD968FB" w14:textId="1A0119BA" w:rsidR="00CA64AF" w:rsidRPr="00A0499A" w:rsidRDefault="00A965A5" w:rsidP="00A0499A">
      <w:pPr>
        <w:pStyle w:val="NormalWeb"/>
        <w:jc w:val="both"/>
        <w:rPr>
          <w:lang w:val="sr-Cyrl-RS"/>
        </w:rPr>
      </w:pPr>
      <w:r w:rsidRPr="00A0499A">
        <w:rPr>
          <w:lang w:val="sr-Cyrl-RS"/>
        </w:rPr>
        <w:t>Утицај на доступност и квалитет услуга је, према томе, веома</w:t>
      </w:r>
      <w:r w:rsidRPr="00A0499A">
        <w:rPr>
          <w:rStyle w:val="Strong"/>
          <w:b w:val="0"/>
          <w:bCs w:val="0"/>
          <w:lang w:val="sr-Cyrl-RS"/>
        </w:rPr>
        <w:t xml:space="preserve"> позитиван</w:t>
      </w:r>
      <w:r w:rsidRPr="00A0499A">
        <w:rPr>
          <w:lang w:val="sr-Cyrl-RS"/>
        </w:rPr>
        <w:t>, нарочито у погледу ефикасности, доступности и правовремености услуга за пацијенте и послодавце, док утицаја на цене услуга и добара у тржишном смислу - нема.</w:t>
      </w:r>
    </w:p>
    <w:p w14:paraId="4EDC9F74" w14:textId="77777777" w:rsidR="00763758" w:rsidRDefault="00763758" w:rsidP="00A0499A">
      <w:pPr>
        <w:pStyle w:val="NormalWeb"/>
        <w:jc w:val="both"/>
        <w:rPr>
          <w:b/>
          <w:bCs/>
          <w:lang w:val="sr-Cyrl-RS"/>
        </w:rPr>
      </w:pPr>
      <w:r w:rsidRPr="00763758">
        <w:rPr>
          <w:b/>
          <w:bCs/>
          <w:lang w:val="sr-Cyrl-RS"/>
        </w:rPr>
        <w:t xml:space="preserve">5) На који начин предложена решења прописа утичу на тржиште рада, запошљавање, услове за рад и синдикално удруживање? </w:t>
      </w:r>
    </w:p>
    <w:p w14:paraId="04EE35ED" w14:textId="7CD965C6" w:rsidR="00A0499A" w:rsidRPr="006A323A" w:rsidRDefault="00A0499A" w:rsidP="00A0499A">
      <w:pPr>
        <w:pStyle w:val="NormalWeb"/>
        <w:jc w:val="both"/>
        <w:rPr>
          <w:lang w:val="sr-Cyrl-RS"/>
        </w:rPr>
      </w:pPr>
      <w:r w:rsidRPr="006A323A">
        <w:rPr>
          <w:rStyle w:val="Strong"/>
          <w:b w:val="0"/>
          <w:bCs w:val="0"/>
          <w:lang w:val="sr-Cyrl-RS"/>
        </w:rPr>
        <w:t xml:space="preserve">Увођење система </w:t>
      </w:r>
      <w:r w:rsidR="00A00CD0">
        <w:rPr>
          <w:rStyle w:val="Strong"/>
          <w:b w:val="0"/>
          <w:bCs w:val="0"/>
          <w:lang w:val="sr-Cyrl-RS"/>
        </w:rPr>
        <w:t>„</w:t>
      </w:r>
      <w:r w:rsidR="00212671">
        <w:rPr>
          <w:rStyle w:val="Strong"/>
          <w:b w:val="0"/>
          <w:bCs w:val="0"/>
          <w:lang w:val="sr-Cyrl-RS"/>
        </w:rPr>
        <w:t>Е-боловање - Послодавац”</w:t>
      </w:r>
      <w:r w:rsidRPr="006A323A">
        <w:rPr>
          <w:rStyle w:val="Strong"/>
          <w:b w:val="0"/>
          <w:bCs w:val="0"/>
          <w:lang w:val="sr-Cyrl-RS"/>
        </w:rPr>
        <w:t xml:space="preserve"> има позитиван утицај на тржиште рада и односе између послодаваца и запослених</w:t>
      </w:r>
      <w:r w:rsidRPr="006A323A">
        <w:rPr>
          <w:lang w:val="sr-Cyrl-RS"/>
        </w:rPr>
        <w:t>, пре свега кроз унапређење правне сигурности, поузданости евиденције и транспарентности у поступку пријаве и обраде боловања.</w:t>
      </w:r>
    </w:p>
    <w:p w14:paraId="146BCB9B" w14:textId="35E6C8E7" w:rsidR="00A0499A" w:rsidRPr="006A323A" w:rsidRDefault="00A0499A" w:rsidP="00A0499A">
      <w:pPr>
        <w:pStyle w:val="NormalWeb"/>
        <w:jc w:val="both"/>
        <w:rPr>
          <w:lang w:val="sr-Cyrl-RS"/>
        </w:rPr>
      </w:pPr>
      <w:bookmarkStart w:id="7" w:name="_Hlk207022154"/>
      <w:r w:rsidRPr="006A323A">
        <w:rPr>
          <w:rStyle w:val="Strong"/>
          <w:b w:val="0"/>
          <w:bCs w:val="0"/>
          <w:lang w:val="sr-Cyrl-RS"/>
        </w:rPr>
        <w:t>Нови систем омогућава правовремену и аутоматизовану евиденцију одсустава</w:t>
      </w:r>
      <w:r w:rsidRPr="006A323A">
        <w:rPr>
          <w:lang w:val="sr-Cyrl-RS"/>
        </w:rPr>
        <w:t xml:space="preserve"> – омогућен је моментални пренос података о привременој спречености за рад, што смањује простор за злоупотребе, а истовремено штити запослене од дискриминације и сумњи у злоупотребу боловања. </w:t>
      </w:r>
      <w:bookmarkEnd w:id="7"/>
      <w:r w:rsidRPr="006A323A">
        <w:rPr>
          <w:lang w:val="sr-Cyrl-RS"/>
        </w:rPr>
        <w:t>Долази и до с</w:t>
      </w:r>
      <w:r w:rsidRPr="006A323A">
        <w:rPr>
          <w:rStyle w:val="Strong"/>
          <w:b w:val="0"/>
          <w:bCs w:val="0"/>
          <w:lang w:val="sr-Cyrl-RS"/>
        </w:rPr>
        <w:t>мањење административних препрека</w:t>
      </w:r>
      <w:r w:rsidRPr="006A323A">
        <w:rPr>
          <w:lang w:val="sr-Cyrl-RS"/>
        </w:rPr>
        <w:t>, будући да се елиминише потреба за „папирним</w:t>
      </w:r>
      <w:r w:rsidR="00013AD3">
        <w:rPr>
          <w:lang w:val="sr-Cyrl-RS"/>
        </w:rPr>
        <w:t>”</w:t>
      </w:r>
      <w:r w:rsidRPr="006A323A">
        <w:rPr>
          <w:lang w:val="sr-Cyrl-RS"/>
        </w:rPr>
        <w:t xml:space="preserve"> поступцима, што запосленима олакшава остваривање права на накнаду зараде. </w:t>
      </w:r>
      <w:r w:rsidR="006A323A">
        <w:rPr>
          <w:lang w:val="sr-Cyrl-RS"/>
        </w:rPr>
        <w:t>Р</w:t>
      </w:r>
      <w:r w:rsidR="006A323A" w:rsidRPr="00CA64AF">
        <w:rPr>
          <w:lang w:val="sr-Cyrl-RS"/>
        </w:rPr>
        <w:t xml:space="preserve">изик од </w:t>
      </w:r>
      <w:r w:rsidR="006A323A">
        <w:rPr>
          <w:lang w:val="sr-Cyrl-RS"/>
        </w:rPr>
        <w:t>неправилности</w:t>
      </w:r>
      <w:r w:rsidR="006A323A" w:rsidRPr="00CA64AF">
        <w:rPr>
          <w:lang w:val="sr-Cyrl-RS"/>
        </w:rPr>
        <w:t xml:space="preserve"> или кашњења у исплати накнада</w:t>
      </w:r>
      <w:r w:rsidR="006A323A">
        <w:rPr>
          <w:lang w:val="sr-Cyrl-RS"/>
        </w:rPr>
        <w:t xml:space="preserve"> се смањује. </w:t>
      </w:r>
      <w:r w:rsidRPr="006A323A">
        <w:rPr>
          <w:lang w:val="sr-Cyrl-RS"/>
        </w:rPr>
        <w:t>На овај начин, јача се</w:t>
      </w:r>
      <w:r w:rsidRPr="006A323A">
        <w:rPr>
          <w:rStyle w:val="Strong"/>
          <w:b w:val="0"/>
          <w:bCs w:val="0"/>
          <w:lang w:val="sr-Cyrl-RS"/>
        </w:rPr>
        <w:t xml:space="preserve"> поверење између послодаваца и запослених</w:t>
      </w:r>
      <w:r w:rsidRPr="006A323A">
        <w:rPr>
          <w:lang w:val="sr-Cyrl-RS"/>
        </w:rPr>
        <w:t xml:space="preserve">, јер унапређена комуникација и евиденција смањују могућности за спорне ситуације и недоумице око остваривања права запосленог. </w:t>
      </w:r>
      <w:r w:rsidR="000A14FE">
        <w:rPr>
          <w:lang w:val="sr-Cyrl-RS"/>
        </w:rPr>
        <w:t>Овде не</w:t>
      </w:r>
      <w:r w:rsidRPr="006A323A">
        <w:rPr>
          <w:lang w:val="sr-Cyrl-RS"/>
        </w:rPr>
        <w:t xml:space="preserve"> треба заборавити ни п</w:t>
      </w:r>
      <w:r w:rsidRPr="006A323A">
        <w:rPr>
          <w:rStyle w:val="Strong"/>
          <w:b w:val="0"/>
          <w:bCs w:val="0"/>
          <w:lang w:val="sr-Cyrl-RS"/>
        </w:rPr>
        <w:t>одршку достојанственом раду</w:t>
      </w:r>
      <w:r w:rsidRPr="006A323A">
        <w:rPr>
          <w:lang w:val="sr-Cyrl-RS"/>
        </w:rPr>
        <w:t>, с обзиром да уређен и једнако примењив систем доприноси поштеном и транспарентном третману свих запослених, без дискреционих одлука појединаца.</w:t>
      </w:r>
    </w:p>
    <w:p w14:paraId="615CF05E" w14:textId="77777777" w:rsidR="00A0499A" w:rsidRPr="008238AE" w:rsidRDefault="00A0499A" w:rsidP="006A323A">
      <w:pPr>
        <w:pStyle w:val="NormalWeb"/>
        <w:jc w:val="both"/>
        <w:rPr>
          <w:lang w:val="sr-Cyrl-RS"/>
        </w:rPr>
      </w:pPr>
      <w:r w:rsidRPr="006A323A">
        <w:rPr>
          <w:lang w:val="sr-Cyrl-RS"/>
        </w:rPr>
        <w:t xml:space="preserve">Примена овог закона </w:t>
      </w:r>
      <w:r w:rsidRPr="006A323A">
        <w:rPr>
          <w:rStyle w:val="Strong"/>
          <w:b w:val="0"/>
          <w:bCs w:val="0"/>
          <w:lang w:val="sr-Cyrl-RS"/>
        </w:rPr>
        <w:t>не утиче на право на синдикално удруживање, нити ограничава могућности колективног преговарања</w:t>
      </w:r>
      <w:r w:rsidRPr="006A323A">
        <w:rPr>
          <w:lang w:val="sr-Cyrl-RS"/>
        </w:rPr>
        <w:t xml:space="preserve">. Напротив, електронски систем омогућава бољу евиденцију и праћење остваривања права, што може ојачати капацитете синдикалних </w:t>
      </w:r>
      <w:r w:rsidRPr="008238AE">
        <w:rPr>
          <w:lang w:val="sr-Cyrl-RS"/>
        </w:rPr>
        <w:t>представника у дијалогу са послодавцима.</w:t>
      </w:r>
    </w:p>
    <w:p w14:paraId="7FF4C989" w14:textId="77777777" w:rsidR="00763758" w:rsidRDefault="00763758" w:rsidP="005E34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763758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6) На који начин предложена решења прописа утичу на здравље људи?</w:t>
      </w:r>
    </w:p>
    <w:p w14:paraId="3D5EF6B1" w14:textId="7B9E38C5" w:rsidR="00366B96" w:rsidRDefault="005E3426" w:rsidP="005E34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238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Предложена решења имају изразито позитиван утицај на здравље становништва, посебно у </w:t>
      </w:r>
      <w:r w:rsidR="007543BB" w:rsidRPr="008238AE">
        <w:rPr>
          <w:rFonts w:ascii="Times New Roman" w:eastAsia="Times New Roman" w:hAnsi="Times New Roman" w:cs="Times New Roman"/>
          <w:sz w:val="24"/>
          <w:szCs w:val="24"/>
          <w:lang w:val="sr-Cyrl-RS"/>
        </w:rPr>
        <w:t>смисл</w:t>
      </w:r>
      <w:r w:rsidRPr="008238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приступачности, континуитета и безбедности здравствене заштите. </w:t>
      </w:r>
    </w:p>
    <w:p w14:paraId="11EFF2A0" w14:textId="6F0D05C1" w:rsidR="005E3426" w:rsidRDefault="005E3426" w:rsidP="005E34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8" w:name="_Hlk207022192"/>
      <w:bookmarkStart w:id="9" w:name="_Hlk207018248"/>
      <w:r w:rsidRPr="008238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Увођењем система </w:t>
      </w:r>
      <w:r w:rsidR="00E76AF6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212671">
        <w:rPr>
          <w:rFonts w:ascii="Times New Roman" w:eastAsia="Times New Roman" w:hAnsi="Times New Roman" w:cs="Times New Roman"/>
          <w:sz w:val="24"/>
          <w:szCs w:val="24"/>
          <w:lang w:val="sr-Cyrl-RS"/>
        </w:rPr>
        <w:t>Е-боловање - Послодавац”</w:t>
      </w:r>
      <w:r w:rsidRPr="008238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знатно се смањује потреба за физичким доласком запослених у здравствене установе ради прибављања или предаје докумен</w:t>
      </w:r>
      <w:r w:rsid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>тације у административне сврхе</w:t>
      </w:r>
      <w:r w:rsidR="005B5A4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(прибављање дознаке и др)</w:t>
      </w:r>
      <w:r w:rsidRPr="008238AE">
        <w:rPr>
          <w:rFonts w:ascii="Times New Roman" w:eastAsia="Times New Roman" w:hAnsi="Times New Roman" w:cs="Times New Roman"/>
          <w:sz w:val="24"/>
          <w:szCs w:val="24"/>
          <w:lang w:val="sr-Cyrl-RS"/>
        </w:rPr>
        <w:t>, што директно утиче на смањење изложености ризику од заразе, нарочито у условима епидемија или сезонских вируса. Овим се смањује оптерећење здравственог система непотребним посетама и омогућава се да медицински капацитети буду усмерени на пацијенте којима је заиста потребна здравствена интервенција.</w:t>
      </w:r>
      <w:r w:rsid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bookmarkEnd w:id="8"/>
      <w:r w:rsidR="00366B96"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Према подацима РФЗО, више од 30% долазака изабраном лекару у вези је са отварањем, продужењем или затварањем боловања, а не са дијагностиком или терапијом</w:t>
      </w:r>
      <w:r w:rsid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(е</w:t>
      </w:r>
      <w:r w:rsidR="00366B96"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>лектронска размена докумената елиминише потребу за тим посетама</w:t>
      </w:r>
      <w:r w:rsid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366B96"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bookmarkEnd w:id="9"/>
    <w:p w14:paraId="75A4CFCD" w14:textId="478AD08E" w:rsidR="00366B96" w:rsidRPr="008238AE" w:rsidRDefault="00366B96" w:rsidP="00366B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Нова решења значајно о</w:t>
      </w:r>
      <w:r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>лакша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вају</w:t>
      </w:r>
      <w:r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континуитет здравствене заштите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 Наиме, у</w:t>
      </w:r>
      <w:r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пракси се дешава да пацијент пропусти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медицинск</w:t>
      </w:r>
      <w:r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>у контролу или прекине лечење јер мора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да с усредсреди</w:t>
      </w:r>
      <w:r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прибављање докумената, затварање боловања и испуњавање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административних</w:t>
      </w:r>
      <w:r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услова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захтева</w:t>
      </w:r>
      <w:r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 друге стране, </w:t>
      </w:r>
      <w:bookmarkStart w:id="10" w:name="_Hlk207022229"/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лектронска размена </w:t>
      </w:r>
      <w:r w:rsidR="0097386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података, </w:t>
      </w:r>
      <w:r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докумената </w:t>
      </w:r>
      <w:r w:rsidR="0097386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обавештења </w:t>
      </w:r>
      <w:r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>дозвољава лекару да се усмери искључиво на лечење и надзор.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Следствено, п</w:t>
      </w:r>
      <w:r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ацијент више не мора 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 </w:t>
      </w:r>
      <w:r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зака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>зује</w:t>
      </w:r>
      <w:r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посебан преглед ради затварања боловања ако лекар има увид у све неопходне податке и може све 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 </w:t>
      </w:r>
      <w:r w:rsidRPr="00366B96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закључи у једном контакту.</w:t>
      </w:r>
    </w:p>
    <w:p w14:paraId="208A64E7" w14:textId="716A07EE" w:rsidR="00C450BE" w:rsidRDefault="005E3426" w:rsidP="005E34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238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Даље, електронска размена </w:t>
      </w:r>
      <w:r w:rsidR="000A14F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података, </w:t>
      </w:r>
      <w:r w:rsidRPr="008238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докумената </w:t>
      </w:r>
      <w:r w:rsidR="000A14F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обавештења </w:t>
      </w:r>
      <w:r w:rsidRPr="008238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омогућава брже и прецизније повезивање релевантних података о пацијенту, што скраћује време потребно за дијагностику и започињање лечења. </w:t>
      </w:r>
      <w:r w:rsidR="00A37E2B"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>Боља интеграција података о стању пацијента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A37E2B"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укључујући електронски приступ историји боловања и 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>податке</w:t>
      </w:r>
      <w:r w:rsidR="00A37E2B"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 спречености за рад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A37E2B"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омогућава 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>лекарим</w:t>
      </w:r>
      <w:r w:rsidR="00A37E2B"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бржи увид у контекст пацијентовог стања. Уместо да се 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изабрани </w:t>
      </w:r>
      <w:r w:rsidR="00A37E2B"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лекар ослања на усмену информацију или непотпуну папирну документацију, 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сада </w:t>
      </w:r>
      <w:r w:rsidR="00A37E2B"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располагању 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има </w:t>
      </w:r>
      <w:r w:rsidR="00A37E2B"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проверене и ажурне податке.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A37E2B"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Ефекат 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овог приступа </w:t>
      </w:r>
      <w:r w:rsidR="00A37E2B"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>у пракси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</w:t>
      </w:r>
      <w:r w:rsidR="00A37E2B"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бржа процена радне способности, боља координација са другим специјалистима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="00A37E2B"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>смањена фрагментација лечења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A37E2B"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bookmarkEnd w:id="10"/>
    <w:p w14:paraId="3D3B8ED6" w14:textId="247D127D" w:rsidR="005E3426" w:rsidRDefault="005E3426" w:rsidP="005E34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238AE">
        <w:rPr>
          <w:rFonts w:ascii="Times New Roman" w:eastAsia="Times New Roman" w:hAnsi="Times New Roman" w:cs="Times New Roman"/>
          <w:sz w:val="24"/>
          <w:szCs w:val="24"/>
          <w:lang w:val="sr-Cyrl-RS"/>
        </w:rPr>
        <w:t>Такође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8238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елиминишу </w:t>
      </w:r>
      <w:r w:rsid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</w:t>
      </w:r>
      <w:r w:rsidRPr="008238AE">
        <w:rPr>
          <w:rFonts w:ascii="Times New Roman" w:eastAsia="Times New Roman" w:hAnsi="Times New Roman" w:cs="Times New Roman"/>
          <w:sz w:val="24"/>
          <w:szCs w:val="24"/>
          <w:lang w:val="sr-Cyrl-RS"/>
        </w:rPr>
        <w:t>кашњења изазвана недостајућом или нечитком документацијом, што доприноси континуитету лечења и побољшању исхода терапија. Побољшана је и правовременост извештавања РФЗО, што омогућава адекватније планирање здравствених услуга и бољу контролу злоупотреба.</w:t>
      </w:r>
      <w:r w:rsidR="00C450B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450BE" w:rsidRPr="00C450BE">
        <w:rPr>
          <w:rFonts w:ascii="Times New Roman" w:eastAsia="Times New Roman" w:hAnsi="Times New Roman" w:cs="Times New Roman"/>
          <w:sz w:val="24"/>
          <w:szCs w:val="24"/>
          <w:lang w:val="sr-Cyrl-RS"/>
        </w:rPr>
        <w:t>Електронско повезивање здравствених установа, послодаваца и РФЗО-а смањује ризик од грешака, непотпуних информација и несагласности у подацима, јер се све информације размењују у стандардизованом формату, кроз проверене механизме приступа, уноса и потврде.</w:t>
      </w:r>
    </w:p>
    <w:p w14:paraId="30E36FC0" w14:textId="418EFCD7" w:rsidR="005E3426" w:rsidRPr="008238AE" w:rsidRDefault="00A37E2B" w:rsidP="005E34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Следствено, долази до п</w:t>
      </w:r>
      <w:r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>овећа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ња</w:t>
      </w:r>
      <w:r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поверењ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здравствени систем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 П</w:t>
      </w:r>
      <w:r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ерцепција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јавности </w:t>
      </w:r>
      <w:r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>често указује на неповерење у институције због спорости, неповезаности и губитка докумената. Увођењем е-боловања повећава се транспарентност, ефикасност и правовременост у остваривању права, што директно утиче на корисничко искуство.</w:t>
      </w:r>
      <w:r w:rsidR="0089642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Надаље, о</w:t>
      </w:r>
      <w:r w:rsidRPr="00A37E2B">
        <w:rPr>
          <w:rFonts w:ascii="Times New Roman" w:eastAsia="Times New Roman" w:hAnsi="Times New Roman" w:cs="Times New Roman"/>
          <w:sz w:val="24"/>
          <w:szCs w:val="24"/>
          <w:lang w:val="sr-Cyrl-RS"/>
        </w:rPr>
        <w:t>чекује се пад броја притужби у вези са кашњењем накнада и губитком докумената, као и боља евалуација од стране пацијената и послодаваца.</w:t>
      </w:r>
      <w:r w:rsidR="0089642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E3426" w:rsidRPr="008238AE">
        <w:rPr>
          <w:rFonts w:ascii="Times New Roman" w:eastAsia="Times New Roman" w:hAnsi="Times New Roman" w:cs="Times New Roman"/>
          <w:sz w:val="24"/>
          <w:szCs w:val="24"/>
          <w:lang w:val="sr-Cyrl-RS"/>
        </w:rPr>
        <w:t>На тај начин, унапређује се ефикасност и транспарентност у систему здравственог осигурања, чиме се повећава поверење грађана у институције и смањује осећај несигурности у погледу остваривања здравствених права. Предложено решење, стога, доприноси не само смањењу административног оптерећења</w:t>
      </w:r>
      <w:r w:rsidR="0089642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5E3426" w:rsidRPr="008238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већ и унапређењу квалитета здравствене заштите и здравља становништва у целини.</w:t>
      </w:r>
    </w:p>
    <w:p w14:paraId="32DE17F1" w14:textId="2B79FA2A" w:rsidR="005E3426" w:rsidRDefault="003E202F" w:rsidP="00F035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noProof/>
        </w:rPr>
        <w:drawing>
          <wp:inline distT="0" distB="0" distL="0" distR="0" wp14:anchorId="655B1F76" wp14:editId="74CE5AB0">
            <wp:extent cx="5943600" cy="29375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3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9DF50" w14:textId="73BC20C3" w:rsidR="003E202F" w:rsidRDefault="003E202F" w:rsidP="00F035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E060F0F" w14:textId="77777777" w:rsidR="00763758" w:rsidRDefault="00763758" w:rsidP="006520AE">
      <w:pPr>
        <w:pStyle w:val="NormalWeb"/>
        <w:jc w:val="both"/>
        <w:rPr>
          <w:b/>
          <w:bCs/>
          <w:lang w:val="sr-Cyrl-RS"/>
        </w:rPr>
      </w:pPr>
      <w:r w:rsidRPr="00763758">
        <w:rPr>
          <w:b/>
          <w:bCs/>
          <w:lang w:val="sr-Cyrl-RS"/>
        </w:rPr>
        <w:t>7) На који начин предложена решења прописа утичу на обим остваривања права на правично суђење, приступачност јавним површинама и објектима и приступ информацијама? На који начин предложена решења утичу на квалитет и доступност јавних услуга, услуга система социјалне заштите, система здравствене заштите и система образовања, као и других јавних услуга, нарочито у контексту заштите и унапређења права припадника осетљивих друштвених група?</w:t>
      </w:r>
    </w:p>
    <w:p w14:paraId="6DDFB02F" w14:textId="7B429FEF" w:rsidR="00561EFD" w:rsidRPr="006520AE" w:rsidRDefault="00561EFD" w:rsidP="006520AE">
      <w:pPr>
        <w:pStyle w:val="NormalWeb"/>
        <w:jc w:val="both"/>
        <w:rPr>
          <w:lang w:val="sr-Cyrl-RS"/>
        </w:rPr>
      </w:pPr>
      <w:r w:rsidRPr="006520AE">
        <w:rPr>
          <w:lang w:val="sr-Cyrl-RS"/>
        </w:rPr>
        <w:t xml:space="preserve">Увођење система </w:t>
      </w:r>
      <w:r w:rsidR="005C3F94">
        <w:rPr>
          <w:lang w:val="sr-Cyrl-RS"/>
        </w:rPr>
        <w:t>„</w:t>
      </w:r>
      <w:r w:rsidR="00212671">
        <w:rPr>
          <w:lang w:val="sr-Cyrl-RS"/>
        </w:rPr>
        <w:t>Е-боловање - Послодавац”</w:t>
      </w:r>
      <w:r w:rsidRPr="006520AE">
        <w:rPr>
          <w:lang w:val="sr-Cyrl-RS"/>
        </w:rPr>
        <w:t xml:space="preserve"> има </w:t>
      </w:r>
      <w:r w:rsidRPr="006520AE">
        <w:rPr>
          <w:rStyle w:val="Strong"/>
          <w:b w:val="0"/>
          <w:bCs w:val="0"/>
          <w:lang w:val="sr-Cyrl-RS"/>
        </w:rPr>
        <w:t>значајан позитиван утицај на остваривање права и доступност јавних услуга</w:t>
      </w:r>
      <w:r w:rsidRPr="006520AE">
        <w:rPr>
          <w:lang w:val="sr-Cyrl-RS"/>
        </w:rPr>
        <w:t>, нарочито за осетљиве и маргинализоване категорије становништва. Системом се унапређује једнакост приступа и смањују се баријере у остваривању права на накнаду за време привремене спречености за рад.</w:t>
      </w:r>
    </w:p>
    <w:p w14:paraId="5B8BB509" w14:textId="305AC8B4" w:rsidR="00561EFD" w:rsidRPr="006520AE" w:rsidRDefault="00561EFD" w:rsidP="006520AE">
      <w:pPr>
        <w:pStyle w:val="NormalWeb"/>
        <w:jc w:val="both"/>
        <w:rPr>
          <w:lang w:val="sr-Cyrl-RS"/>
        </w:rPr>
      </w:pPr>
      <w:r w:rsidRPr="006520AE">
        <w:rPr>
          <w:rStyle w:val="Strong"/>
          <w:b w:val="0"/>
          <w:bCs w:val="0"/>
          <w:lang w:val="sr-Cyrl-RS"/>
        </w:rPr>
        <w:t>Позитивни ефекти на особе са инвалидитетом</w:t>
      </w:r>
      <w:r w:rsidRPr="006520AE">
        <w:rPr>
          <w:lang w:val="sr-Cyrl-RS"/>
        </w:rPr>
        <w:t xml:space="preserve"> огледају се у укидању потребе за физичким одласком код послодавца или слањем докумената у папиру, чиме се значајно смањују физичке и логистичке баријере</w:t>
      </w:r>
      <w:r w:rsidR="006520AE" w:rsidRPr="006520AE">
        <w:rPr>
          <w:lang w:val="sr-Cyrl-RS"/>
        </w:rPr>
        <w:t xml:space="preserve">. </w:t>
      </w:r>
      <w:r w:rsidRPr="006520AE">
        <w:rPr>
          <w:rStyle w:val="Strong"/>
          <w:b w:val="0"/>
          <w:bCs w:val="0"/>
          <w:lang w:val="sr-Cyrl-RS"/>
        </w:rPr>
        <w:t>С</w:t>
      </w:r>
      <w:r w:rsidRPr="006520AE">
        <w:rPr>
          <w:lang w:val="sr-Cyrl-RS"/>
        </w:rPr>
        <w:t>мањење броја административних радњи и поједностављење процедура доприноси бољем континуитету здравствене неге и правовременој исплати накнада</w:t>
      </w:r>
      <w:r w:rsidR="006520AE" w:rsidRPr="006520AE">
        <w:rPr>
          <w:lang w:val="sr-Cyrl-RS"/>
        </w:rPr>
        <w:t xml:space="preserve"> за стара и хронично болесна лица. Ефекти су позитивни и за з</w:t>
      </w:r>
      <w:r w:rsidRPr="006520AE">
        <w:rPr>
          <w:rStyle w:val="Strong"/>
          <w:b w:val="0"/>
          <w:bCs w:val="0"/>
          <w:lang w:val="sr-Cyrl-RS"/>
        </w:rPr>
        <w:t>апослен</w:t>
      </w:r>
      <w:r w:rsidR="006520AE" w:rsidRPr="006520AE">
        <w:rPr>
          <w:rStyle w:val="Strong"/>
          <w:b w:val="0"/>
          <w:bCs w:val="0"/>
          <w:lang w:val="sr-Cyrl-RS"/>
        </w:rPr>
        <w:t>е</w:t>
      </w:r>
      <w:r w:rsidRPr="006520AE">
        <w:rPr>
          <w:rStyle w:val="Strong"/>
          <w:b w:val="0"/>
          <w:bCs w:val="0"/>
          <w:lang w:val="sr-Cyrl-RS"/>
        </w:rPr>
        <w:t xml:space="preserve"> родитељ</w:t>
      </w:r>
      <w:r w:rsidR="006520AE" w:rsidRPr="006520AE">
        <w:rPr>
          <w:rStyle w:val="Strong"/>
          <w:b w:val="0"/>
          <w:bCs w:val="0"/>
          <w:lang w:val="sr-Cyrl-RS"/>
        </w:rPr>
        <w:t>е</w:t>
      </w:r>
      <w:r w:rsidRPr="006520AE">
        <w:rPr>
          <w:rStyle w:val="Strong"/>
          <w:b w:val="0"/>
          <w:bCs w:val="0"/>
          <w:lang w:val="sr-Cyrl-RS"/>
        </w:rPr>
        <w:t>, самохран</w:t>
      </w:r>
      <w:r w:rsidR="006520AE" w:rsidRPr="006520AE">
        <w:rPr>
          <w:rStyle w:val="Strong"/>
          <w:b w:val="0"/>
          <w:bCs w:val="0"/>
          <w:lang w:val="sr-Cyrl-RS"/>
        </w:rPr>
        <w:t>е</w:t>
      </w:r>
      <w:r w:rsidRPr="006520AE">
        <w:rPr>
          <w:rStyle w:val="Strong"/>
          <w:b w:val="0"/>
          <w:bCs w:val="0"/>
          <w:lang w:val="sr-Cyrl-RS"/>
        </w:rPr>
        <w:t xml:space="preserve"> родитељ</w:t>
      </w:r>
      <w:r w:rsidR="006520AE" w:rsidRPr="006520AE">
        <w:rPr>
          <w:rStyle w:val="Strong"/>
          <w:b w:val="0"/>
          <w:bCs w:val="0"/>
          <w:lang w:val="sr-Cyrl-RS"/>
        </w:rPr>
        <w:t>е</w:t>
      </w:r>
      <w:r w:rsidRPr="006520AE">
        <w:rPr>
          <w:rStyle w:val="Strong"/>
          <w:b w:val="0"/>
          <w:bCs w:val="0"/>
          <w:lang w:val="sr-Cyrl-RS"/>
        </w:rPr>
        <w:t xml:space="preserve"> и неговатељ</w:t>
      </w:r>
      <w:r w:rsidR="006520AE" w:rsidRPr="006520AE">
        <w:rPr>
          <w:rStyle w:val="Strong"/>
          <w:b w:val="0"/>
          <w:bCs w:val="0"/>
          <w:lang w:val="sr-Cyrl-RS"/>
        </w:rPr>
        <w:t>е, јер се</w:t>
      </w:r>
      <w:r w:rsidRPr="006520AE">
        <w:rPr>
          <w:lang w:val="sr-Cyrl-RS"/>
        </w:rPr>
        <w:t xml:space="preserve"> олакшава пријава боловања и смањује административно оптерећење у </w:t>
      </w:r>
      <w:r w:rsidR="006520AE" w:rsidRPr="006520AE">
        <w:rPr>
          <w:lang w:val="sr-Cyrl-RS"/>
        </w:rPr>
        <w:t>време</w:t>
      </w:r>
      <w:r w:rsidRPr="006520AE">
        <w:rPr>
          <w:lang w:val="sr-Cyrl-RS"/>
        </w:rPr>
        <w:t xml:space="preserve"> повећаног психофизичког напрезања.</w:t>
      </w:r>
    </w:p>
    <w:p w14:paraId="090A4F97" w14:textId="77777777" w:rsidR="006520AE" w:rsidRPr="006520AE" w:rsidRDefault="006520AE" w:rsidP="00F0351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520AE">
        <w:rPr>
          <w:rFonts w:ascii="Times New Roman" w:eastAsia="Times New Roman" w:hAnsi="Times New Roman" w:cs="Times New Roman"/>
          <w:sz w:val="24"/>
          <w:szCs w:val="24"/>
          <w:lang w:val="sr-Cyrl-RS"/>
        </w:rPr>
        <w:t>Нови систем доприноси дигиталној инклузији кроз доступност електронских јавних услуга, без дискриминације по техничким или физичким могућностима, као и јачању транспарентности, правичности и сузбијању корупције, јер се смањују дискреционо поступање и субјективне интервенције у току процеса. То доприноси повећању поверења у јавну управу, посебно у областима здравствене заштите и обавезног здравственог осигурања.</w:t>
      </w:r>
    </w:p>
    <w:p w14:paraId="1255D485" w14:textId="77777777" w:rsidR="00763758" w:rsidRDefault="00763758" w:rsidP="00F0351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763758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8) На који начин предложена решења прописа утичу на доступност културних садржаја и очување културног наслеђа?</w:t>
      </w:r>
    </w:p>
    <w:p w14:paraId="0F701E63" w14:textId="5B492770" w:rsidR="006D1E28" w:rsidRPr="006D1E28" w:rsidRDefault="006D1E28" w:rsidP="00F0351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D1E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Систем </w:t>
      </w:r>
      <w:r w:rsidR="00384C24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212671">
        <w:rPr>
          <w:rFonts w:ascii="Times New Roman" w:eastAsia="Times New Roman" w:hAnsi="Times New Roman" w:cs="Times New Roman"/>
          <w:sz w:val="24"/>
          <w:szCs w:val="24"/>
          <w:lang w:val="sr-Cyrl-RS"/>
        </w:rPr>
        <w:t>Е-боловање - Послодавац”</w:t>
      </w:r>
      <w:r w:rsidRPr="006D1E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не производи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непосредн или посредан</w:t>
      </w:r>
      <w:r w:rsidRPr="006D1E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утицај на културни сектор, културне садржаје или очување културног наслеђа. Реч је о реформи у области здравственог осигурања и радних односа, која се не односи на процесе, објекте или субјекте који су релевантни за заштиту, промоцију или коришћење културног наслеђа и културних добара.</w:t>
      </w:r>
    </w:p>
    <w:p w14:paraId="27A4F0E9" w14:textId="77777777" w:rsidR="00763758" w:rsidRDefault="00763758" w:rsidP="00D66B49">
      <w:pPr>
        <w:pStyle w:val="NormalWeb"/>
        <w:jc w:val="both"/>
        <w:rPr>
          <w:b/>
          <w:bCs/>
          <w:lang w:val="sr-Cyrl-RS"/>
        </w:rPr>
      </w:pPr>
      <w:r w:rsidRPr="00763758">
        <w:rPr>
          <w:b/>
          <w:bCs/>
          <w:lang w:val="sr-Cyrl-RS"/>
        </w:rPr>
        <w:t>9) Да ли предложена решења прописа имају различите ефекте на жене и мушкарце, тј. родну равноправност? Описати те ефекте. Да ли пропис повећава или умањује родну равноправност? Које мере су предвиђене за ублажавања потенцијалних негативних ефеката прописа на родну равноправност?</w:t>
      </w:r>
    </w:p>
    <w:p w14:paraId="54A2DE10" w14:textId="2EABE6CA" w:rsidR="006D1E28" w:rsidRPr="00D66B49" w:rsidRDefault="007C6C97" w:rsidP="00D66B49">
      <w:pPr>
        <w:pStyle w:val="NormalWeb"/>
        <w:jc w:val="both"/>
        <w:rPr>
          <w:lang w:val="sr-Cyrl-RS"/>
        </w:rPr>
      </w:pPr>
      <w:r>
        <w:rPr>
          <w:lang w:val="sr-Cyrl-RS"/>
        </w:rPr>
        <w:t>„</w:t>
      </w:r>
      <w:r w:rsidR="00212671">
        <w:rPr>
          <w:lang w:val="sr-Cyrl-RS"/>
        </w:rPr>
        <w:t>Е-боловање - Послодавац”</w:t>
      </w:r>
      <w:r w:rsidR="006D1E28" w:rsidRPr="00D66B49">
        <w:rPr>
          <w:lang w:val="sr-Cyrl-RS"/>
        </w:rPr>
        <w:t xml:space="preserve"> има позитиван ефекат на родну равноправност, с обзиром на то да се административни терет боловања и формалности везаних за одсуство ради неге деце и чланова породице чешће односи на жене, имајући у виду да жене чешће користе боловање ради неге деце и других чланова породице.</w:t>
      </w:r>
    </w:p>
    <w:p w14:paraId="2B34C7CE" w14:textId="73198B91" w:rsidR="006D1E28" w:rsidRPr="00D66B49" w:rsidRDefault="006D1E28" w:rsidP="00D66B49">
      <w:pPr>
        <w:pStyle w:val="NormalWeb"/>
        <w:jc w:val="both"/>
        <w:rPr>
          <w:lang w:val="sr-Cyrl-RS"/>
        </w:rPr>
      </w:pPr>
      <w:r w:rsidRPr="00D66B49">
        <w:rPr>
          <w:lang w:val="sr-Cyrl-RS"/>
        </w:rPr>
        <w:t>Кључне предности за жене укључује с</w:t>
      </w:r>
      <w:r w:rsidRPr="00D66B49">
        <w:rPr>
          <w:rStyle w:val="Strong"/>
          <w:b w:val="0"/>
          <w:bCs w:val="0"/>
          <w:lang w:val="sr-Cyrl-RS"/>
        </w:rPr>
        <w:t>мањење административног оптерећења</w:t>
      </w:r>
      <w:r w:rsidRPr="00D66B49">
        <w:rPr>
          <w:lang w:val="sr-Cyrl-RS"/>
        </w:rPr>
        <w:t xml:space="preserve"> и потребе за физичком доставом докумената и б</w:t>
      </w:r>
      <w:r w:rsidRPr="00D66B49">
        <w:rPr>
          <w:rStyle w:val="Strong"/>
          <w:b w:val="0"/>
          <w:bCs w:val="0"/>
          <w:lang w:val="sr-Cyrl-RS"/>
        </w:rPr>
        <w:t>ржу обраду накнада</w:t>
      </w:r>
      <w:r w:rsidRPr="00D66B49">
        <w:rPr>
          <w:lang w:val="sr-Cyrl-RS"/>
        </w:rPr>
        <w:t>, што је значајно за финансијску предвидивост домаћинства, као и м</w:t>
      </w:r>
      <w:r w:rsidRPr="00D66B49">
        <w:rPr>
          <w:rStyle w:val="Strong"/>
          <w:b w:val="0"/>
          <w:bCs w:val="0"/>
          <w:lang w:val="sr-Cyrl-RS"/>
        </w:rPr>
        <w:t>ањи ризик од грешака и пропуста</w:t>
      </w:r>
      <w:r w:rsidRPr="00D66B49">
        <w:rPr>
          <w:lang w:val="sr-Cyrl-RS"/>
        </w:rPr>
        <w:t xml:space="preserve"> приликом административне обраде боловања. Генерално, остварује се у</w:t>
      </w:r>
      <w:r w:rsidRPr="00D66B49">
        <w:rPr>
          <w:rStyle w:val="Strong"/>
          <w:b w:val="0"/>
          <w:bCs w:val="0"/>
          <w:lang w:val="sr-Cyrl-RS"/>
        </w:rPr>
        <w:t>напређен приступа правима</w:t>
      </w:r>
      <w:r w:rsidRPr="00D66B49">
        <w:rPr>
          <w:lang w:val="sr-Cyrl-RS"/>
        </w:rPr>
        <w:t xml:space="preserve"> у оквиру радног односа, што доприноси достојанственом раду жена.</w:t>
      </w:r>
    </w:p>
    <w:p w14:paraId="22E1E33C" w14:textId="5750A155" w:rsidR="006D1E28" w:rsidRPr="00D66B49" w:rsidRDefault="006D1E28" w:rsidP="00D66B49">
      <w:pPr>
        <w:pStyle w:val="NormalWeb"/>
        <w:jc w:val="both"/>
        <w:rPr>
          <w:lang w:val="sr-Cyrl-RS"/>
        </w:rPr>
      </w:pPr>
      <w:r w:rsidRPr="00D66B49">
        <w:rPr>
          <w:rStyle w:val="Strong"/>
          <w:b w:val="0"/>
          <w:bCs w:val="0"/>
          <w:lang w:val="sr-Cyrl-RS"/>
        </w:rPr>
        <w:t>Негативан утицај предложених решења не постоји</w:t>
      </w:r>
      <w:r w:rsidRPr="00D66B49">
        <w:rPr>
          <w:lang w:val="sr-Cyrl-RS"/>
        </w:rPr>
        <w:t xml:space="preserve">, јер је систем једнако доступан и применљив за оба пола. Ипак, </w:t>
      </w:r>
      <w:r w:rsidRPr="00D66B49">
        <w:rPr>
          <w:rStyle w:val="Strong"/>
          <w:b w:val="0"/>
          <w:bCs w:val="0"/>
          <w:lang w:val="sr-Cyrl-RS"/>
        </w:rPr>
        <w:t xml:space="preserve">позитивни ефекти </w:t>
      </w:r>
      <w:r w:rsidR="00D66B49" w:rsidRPr="00D66B49">
        <w:rPr>
          <w:rStyle w:val="Strong"/>
          <w:b w:val="0"/>
          <w:bCs w:val="0"/>
          <w:lang w:val="sr-Cyrl-RS"/>
        </w:rPr>
        <w:t xml:space="preserve">у пракси </w:t>
      </w:r>
      <w:r w:rsidRPr="00D66B49">
        <w:rPr>
          <w:rStyle w:val="Strong"/>
          <w:b w:val="0"/>
          <w:bCs w:val="0"/>
          <w:lang w:val="sr-Cyrl-RS"/>
        </w:rPr>
        <w:t>су израженији код жена</w:t>
      </w:r>
      <w:r w:rsidRPr="00D66B49">
        <w:rPr>
          <w:lang w:val="sr-Cyrl-RS"/>
        </w:rPr>
        <w:t>, с обзиром на статистички већу учесталост коришћења боловања ради породичних обавеза.</w:t>
      </w:r>
    </w:p>
    <w:p w14:paraId="24F210D1" w14:textId="77777777" w:rsidR="00CA64AF" w:rsidRPr="00F060FC" w:rsidRDefault="00CA64AF" w:rsidP="00F0351D">
      <w:pPr>
        <w:pStyle w:val="Heading2"/>
        <w:jc w:val="both"/>
        <w:rPr>
          <w:sz w:val="24"/>
          <w:szCs w:val="24"/>
          <w:lang w:val="sr-Cyrl-RS"/>
        </w:rPr>
      </w:pPr>
      <w:r w:rsidRPr="00F060FC">
        <w:rPr>
          <w:rStyle w:val="Strong"/>
          <w:b/>
          <w:bCs/>
          <w:sz w:val="24"/>
          <w:szCs w:val="24"/>
          <w:lang w:val="sr-Cyrl-RS"/>
        </w:rPr>
        <w:t>6. Анализа ефеката на животну средину и климатске промене</w:t>
      </w:r>
    </w:p>
    <w:p w14:paraId="757BD746" w14:textId="1D94A04E" w:rsidR="00CA64AF" w:rsidRPr="00F060FC" w:rsidRDefault="00763758" w:rsidP="00F0351D">
      <w:pPr>
        <w:pStyle w:val="Heading3"/>
        <w:jc w:val="both"/>
        <w:rPr>
          <w:sz w:val="24"/>
          <w:szCs w:val="24"/>
          <w:lang w:val="sr-Cyrl-RS"/>
        </w:rPr>
      </w:pPr>
      <w:r w:rsidRPr="00763758">
        <w:rPr>
          <w:rStyle w:val="Strong"/>
          <w:b/>
          <w:bCs/>
          <w:sz w:val="24"/>
          <w:szCs w:val="24"/>
          <w:lang w:val="sr-Cyrl-RS"/>
        </w:rPr>
        <w:t>1) На који начин предложена решења прописа утичу на животну средину?</w:t>
      </w:r>
    </w:p>
    <w:p w14:paraId="2AFE7EDC" w14:textId="3C55B5E2" w:rsidR="00CA64AF" w:rsidRPr="0034233E" w:rsidRDefault="00CA64AF" w:rsidP="0034233E">
      <w:pPr>
        <w:pStyle w:val="NormalWeb"/>
        <w:jc w:val="both"/>
        <w:rPr>
          <w:lang w:val="sr-Cyrl-RS"/>
        </w:rPr>
      </w:pPr>
      <w:r w:rsidRPr="0034233E">
        <w:rPr>
          <w:lang w:val="sr-Cyrl-RS"/>
        </w:rPr>
        <w:t>Предложеним решењ</w:t>
      </w:r>
      <w:r w:rsidR="00FF63C4" w:rsidRPr="0034233E">
        <w:rPr>
          <w:lang w:val="sr-Cyrl-RS"/>
        </w:rPr>
        <w:t>и</w:t>
      </w:r>
      <w:r w:rsidRPr="0034233E">
        <w:rPr>
          <w:lang w:val="sr-Cyrl-RS"/>
        </w:rPr>
        <w:t>м</w:t>
      </w:r>
      <w:r w:rsidR="00FF63C4" w:rsidRPr="0034233E">
        <w:rPr>
          <w:lang w:val="sr-Cyrl-RS"/>
        </w:rPr>
        <w:t>а</w:t>
      </w:r>
      <w:r w:rsidRPr="0034233E">
        <w:rPr>
          <w:lang w:val="sr-Cyrl-RS"/>
        </w:rPr>
        <w:t xml:space="preserve"> уводи се </w:t>
      </w:r>
      <w:r w:rsidRPr="0034233E">
        <w:rPr>
          <w:rStyle w:val="Strong"/>
          <w:b w:val="0"/>
          <w:bCs w:val="0"/>
          <w:lang w:val="sr-Cyrl-RS"/>
        </w:rPr>
        <w:t>потпуни прелазак на електронску размену докумената</w:t>
      </w:r>
      <w:r w:rsidRPr="0034233E">
        <w:rPr>
          <w:lang w:val="sr-Cyrl-RS"/>
        </w:rPr>
        <w:t xml:space="preserve"> у поступку остваривања права на накнаду зараде за време привремене спречености за рад. Ова дигитализација има </w:t>
      </w:r>
      <w:r w:rsidRPr="0034233E">
        <w:rPr>
          <w:rStyle w:val="Strong"/>
          <w:b w:val="0"/>
          <w:bCs w:val="0"/>
          <w:lang w:val="sr-Cyrl-RS"/>
        </w:rPr>
        <w:t>директан позитиван ефекат на заштиту животне средине</w:t>
      </w:r>
      <w:r w:rsidR="00FF63C4" w:rsidRPr="0034233E">
        <w:rPr>
          <w:lang w:val="sr-Cyrl-RS"/>
        </w:rPr>
        <w:t>.</w:t>
      </w:r>
    </w:p>
    <w:p w14:paraId="4F879A78" w14:textId="5722B0BE" w:rsidR="00FF63C4" w:rsidRPr="0034233E" w:rsidRDefault="00FF63C4" w:rsidP="0034233E">
      <w:pPr>
        <w:pStyle w:val="NormalWeb"/>
        <w:jc w:val="both"/>
        <w:rPr>
          <w:lang w:val="sr-Cyrl-RS"/>
        </w:rPr>
      </w:pPr>
      <w:r w:rsidRPr="0034233E">
        <w:rPr>
          <w:rStyle w:val="Strong"/>
          <w:b w:val="0"/>
          <w:bCs w:val="0"/>
          <w:lang w:val="sr-Cyrl-RS"/>
        </w:rPr>
        <w:t>Најпре, смањује се потрошња папира</w:t>
      </w:r>
      <w:r w:rsidR="0034233E">
        <w:rPr>
          <w:rStyle w:val="Strong"/>
          <w:b w:val="0"/>
          <w:bCs w:val="0"/>
          <w:lang w:val="sr-Cyrl-RS"/>
        </w:rPr>
        <w:t>, јер се</w:t>
      </w:r>
      <w:r w:rsidRPr="0034233E">
        <w:rPr>
          <w:rStyle w:val="Strong"/>
          <w:b w:val="0"/>
          <w:bCs w:val="0"/>
          <w:lang w:val="sr-Cyrl-RS"/>
        </w:rPr>
        <w:t xml:space="preserve"> у</w:t>
      </w:r>
      <w:r w:rsidRPr="0034233E">
        <w:rPr>
          <w:lang w:val="sr-Cyrl-RS"/>
        </w:rPr>
        <w:t>кидањем штампања потврда и извештаја о боловању значајно смањује број папирних докумената, који би иначе били штампани, умножавани, дистрибуирани, складиштени и архивирани. Ово има ефекат на смањење сече шума и потрошње воде и енергије у процесу производње папира. Затим, с</w:t>
      </w:r>
      <w:r w:rsidRPr="0034233E">
        <w:rPr>
          <w:rStyle w:val="Strong"/>
          <w:b w:val="0"/>
          <w:bCs w:val="0"/>
          <w:lang w:val="sr-Cyrl-RS"/>
        </w:rPr>
        <w:t>мањује се транспортна и логистичка потрошња (штетне емисије)</w:t>
      </w:r>
      <w:r w:rsidRPr="0034233E">
        <w:rPr>
          <w:lang w:val="sr-Cyrl-RS"/>
        </w:rPr>
        <w:t xml:space="preserve">, јер престанком потребе за физичким преносом докумената између здравствених установа, послодаваца и РФЗО, умањује се број појединачних вожњи и физичких достава, што доводи до смањења емисије </w:t>
      </w:r>
      <w:r w:rsidR="0034233E" w:rsidRPr="0034233E">
        <w:rPr>
          <w:lang w:val="sr-Cyrl-RS"/>
        </w:rPr>
        <w:t>угљен-диоксида (</w:t>
      </w:r>
      <w:r w:rsidRPr="0034233E">
        <w:rPr>
          <w:lang w:val="sr-Cyrl-RS"/>
        </w:rPr>
        <w:t>CO₂</w:t>
      </w:r>
      <w:r w:rsidR="0034233E" w:rsidRPr="0034233E">
        <w:rPr>
          <w:lang w:val="sr-Cyrl-RS"/>
        </w:rPr>
        <w:t>)</w:t>
      </w:r>
      <w:r w:rsidRPr="0034233E">
        <w:rPr>
          <w:lang w:val="sr-Cyrl-RS"/>
        </w:rPr>
        <w:t xml:space="preserve"> и других штетних гасова.</w:t>
      </w:r>
      <w:r w:rsidR="0034233E" w:rsidRPr="0034233E">
        <w:rPr>
          <w:lang w:val="sr-Cyrl-RS"/>
        </w:rPr>
        <w:t xml:space="preserve"> Долази и до смањења потребе за складишним простором, односно р</w:t>
      </w:r>
      <w:r w:rsidRPr="0034233E">
        <w:rPr>
          <w:rStyle w:val="Strong"/>
          <w:b w:val="0"/>
          <w:bCs w:val="0"/>
          <w:lang w:val="sr-Cyrl-RS"/>
        </w:rPr>
        <w:t>ационалније</w:t>
      </w:r>
      <w:r w:rsidR="0034233E" w:rsidRPr="0034233E">
        <w:rPr>
          <w:rStyle w:val="Strong"/>
          <w:b w:val="0"/>
          <w:bCs w:val="0"/>
          <w:lang w:val="sr-Cyrl-RS"/>
        </w:rPr>
        <w:t>г</w:t>
      </w:r>
      <w:r w:rsidRPr="0034233E">
        <w:rPr>
          <w:rStyle w:val="Strong"/>
          <w:b w:val="0"/>
          <w:bCs w:val="0"/>
          <w:lang w:val="sr-Cyrl-RS"/>
        </w:rPr>
        <w:t xml:space="preserve"> коришћење простора</w:t>
      </w:r>
      <w:r w:rsidR="0034233E" w:rsidRPr="0034233E">
        <w:rPr>
          <w:rStyle w:val="Strong"/>
          <w:b w:val="0"/>
          <w:bCs w:val="0"/>
          <w:lang w:val="sr-Cyrl-RS"/>
        </w:rPr>
        <w:t>, јер п</w:t>
      </w:r>
      <w:r w:rsidRPr="0034233E">
        <w:rPr>
          <w:lang w:val="sr-Cyrl-RS"/>
        </w:rPr>
        <w:t>релазак на електронску архиву омогућава укидање обимних папирних архива и смањује потребу за простором за складиштење, што позитивно утиче на урбано и радно окружење</w:t>
      </w:r>
      <w:r w:rsidR="0034233E" w:rsidRPr="0034233E">
        <w:rPr>
          <w:lang w:val="sr-Cyrl-RS"/>
        </w:rPr>
        <w:t xml:space="preserve"> и смањује негативан утицај на простор и околину</w:t>
      </w:r>
      <w:r w:rsidRPr="0034233E">
        <w:rPr>
          <w:lang w:val="sr-Cyrl-RS"/>
        </w:rPr>
        <w:t>.</w:t>
      </w:r>
    </w:p>
    <w:p w14:paraId="7FAB0160" w14:textId="6E805C96" w:rsidR="00FF63C4" w:rsidRPr="0034233E" w:rsidRDefault="00FF63C4" w:rsidP="0034233E">
      <w:pPr>
        <w:pStyle w:val="NormalWeb"/>
        <w:jc w:val="both"/>
        <w:rPr>
          <w:lang w:val="sr-Cyrl-RS"/>
        </w:rPr>
      </w:pPr>
      <w:r w:rsidRPr="0034233E">
        <w:rPr>
          <w:lang w:val="sr-Cyrl-RS"/>
        </w:rPr>
        <w:t xml:space="preserve">Предложено законско решење је </w:t>
      </w:r>
      <w:r w:rsidRPr="0034233E">
        <w:rPr>
          <w:rStyle w:val="Strong"/>
          <w:b w:val="0"/>
          <w:bCs w:val="0"/>
          <w:lang w:val="sr-Cyrl-RS"/>
        </w:rPr>
        <w:t>у складу са циљевима зелене транзиције и циркуларне економије</w:t>
      </w:r>
      <w:r w:rsidRPr="0034233E">
        <w:rPr>
          <w:lang w:val="sr-Cyrl-RS"/>
        </w:rPr>
        <w:t>, јер смањује т</w:t>
      </w:r>
      <w:r w:rsidR="0034233E" w:rsidRPr="0034233E">
        <w:rPr>
          <w:lang w:val="sr-Cyrl-RS"/>
        </w:rPr>
        <w:t>зв.</w:t>
      </w:r>
      <w:r w:rsidRPr="0034233E">
        <w:rPr>
          <w:lang w:val="sr-Cyrl-RS"/>
        </w:rPr>
        <w:t xml:space="preserve"> </w:t>
      </w:r>
      <w:r w:rsidRPr="0034233E">
        <w:rPr>
          <w:rStyle w:val="Emphasis"/>
          <w:i w:val="0"/>
          <w:iCs w:val="0"/>
          <w:lang w:val="sr-Cyrl-RS"/>
        </w:rPr>
        <w:t>административни отпад</w:t>
      </w:r>
      <w:r w:rsidRPr="0034233E">
        <w:rPr>
          <w:i/>
          <w:iCs/>
          <w:lang w:val="sr-Cyrl-RS"/>
        </w:rPr>
        <w:t>,</w:t>
      </w:r>
      <w:r w:rsidRPr="0034233E">
        <w:rPr>
          <w:lang w:val="sr-Cyrl-RS"/>
        </w:rPr>
        <w:t xml:space="preserve"> унапређује енергетску ефикасност и смањује еколошки отисак јавне управе.</w:t>
      </w:r>
    </w:p>
    <w:p w14:paraId="236FF7FF" w14:textId="6E35451D" w:rsidR="009E0DE4" w:rsidRPr="00763758" w:rsidRDefault="00FF63C4" w:rsidP="0034233E">
      <w:pPr>
        <w:pStyle w:val="NormalWeb"/>
        <w:jc w:val="both"/>
        <w:rPr>
          <w:lang w:val="sr-Cyrl-RS"/>
        </w:rPr>
      </w:pPr>
      <w:r w:rsidRPr="0034233E">
        <w:rPr>
          <w:lang w:val="sr-Cyrl-RS"/>
        </w:rPr>
        <w:t xml:space="preserve">Иако се не предвиђају директне еколошке мере или механизми компензације емисија, </w:t>
      </w:r>
      <w:r w:rsidRPr="0034233E">
        <w:rPr>
          <w:rStyle w:val="Strong"/>
          <w:b w:val="0"/>
          <w:bCs w:val="0"/>
          <w:lang w:val="sr-Cyrl-RS"/>
        </w:rPr>
        <w:t xml:space="preserve">интегрисани ефекат дигитализације на животну средину је позитиван и комплементаран </w:t>
      </w:r>
      <w:r w:rsidRPr="00763758">
        <w:rPr>
          <w:rStyle w:val="Strong"/>
          <w:b w:val="0"/>
          <w:bCs w:val="0"/>
          <w:lang w:val="sr-Cyrl-RS"/>
        </w:rPr>
        <w:t xml:space="preserve">другим </w:t>
      </w:r>
      <w:r w:rsidR="0034233E" w:rsidRPr="00763758">
        <w:rPr>
          <w:rStyle w:val="Strong"/>
          <w:b w:val="0"/>
          <w:bCs w:val="0"/>
          <w:lang w:val="sr-Cyrl-RS"/>
        </w:rPr>
        <w:t xml:space="preserve">јавним </w:t>
      </w:r>
      <w:r w:rsidRPr="00763758">
        <w:rPr>
          <w:rStyle w:val="Strong"/>
          <w:b w:val="0"/>
          <w:bCs w:val="0"/>
          <w:lang w:val="sr-Cyrl-RS"/>
        </w:rPr>
        <w:t>политикама у области климатских промена</w:t>
      </w:r>
      <w:r w:rsidRPr="00763758">
        <w:rPr>
          <w:lang w:val="sr-Cyrl-RS"/>
        </w:rPr>
        <w:t>.</w:t>
      </w:r>
    </w:p>
    <w:p w14:paraId="71C2EFFE" w14:textId="77777777" w:rsidR="00CA64AF" w:rsidRPr="00763758" w:rsidRDefault="00CA64AF" w:rsidP="00F0351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763758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7. Анализа управљачких ефеката</w:t>
      </w:r>
    </w:p>
    <w:p w14:paraId="4E071822" w14:textId="77777777" w:rsidR="00763758" w:rsidRDefault="00763758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763758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1) Које активности је потребно спровести и у којим роковима како би се омогућила примена прописа? Која организациона јединица унутар органа, односно организације који врше јавна овлашћења, је одговорна за спровођење ових активности?</w:t>
      </w:r>
    </w:p>
    <w:p w14:paraId="1CA6C700" w14:textId="32836EE8" w:rsidR="00CA64AF" w:rsidRDefault="00CA64AF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A64A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Примена прописа захтева спровођење активности у </w:t>
      </w:r>
      <w:r w:rsidR="001B7D77">
        <w:rPr>
          <w:rFonts w:ascii="Times New Roman" w:eastAsia="Times New Roman" w:hAnsi="Times New Roman" w:cs="Times New Roman"/>
          <w:sz w:val="24"/>
          <w:szCs w:val="24"/>
          <w:lang w:val="sr-Cyrl-RS"/>
        </w:rPr>
        <w:t>планира</w:t>
      </w:r>
      <w:r w:rsidRPr="00CA64AF">
        <w:rPr>
          <w:rFonts w:ascii="Times New Roman" w:eastAsia="Times New Roman" w:hAnsi="Times New Roman" w:cs="Times New Roman"/>
          <w:sz w:val="24"/>
          <w:szCs w:val="24"/>
          <w:lang w:val="sr-Cyrl-RS"/>
        </w:rPr>
        <w:t>ним роковима</w:t>
      </w:r>
      <w:r w:rsidR="000C3E5E">
        <w:rPr>
          <w:rFonts w:ascii="Times New Roman" w:eastAsia="Times New Roman" w:hAnsi="Times New Roman" w:cs="Times New Roman"/>
          <w:sz w:val="24"/>
          <w:szCs w:val="24"/>
          <w:lang w:val="sr-Cyrl-RS"/>
        </w:rPr>
        <w:t>, према табели у наставку.</w:t>
      </w:r>
    </w:p>
    <w:p w14:paraId="774297CA" w14:textId="6A8F051D" w:rsidR="000C3E5E" w:rsidRPr="000C3E5E" w:rsidRDefault="000C3E5E" w:rsidP="000C3E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0C3E5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Табела 7: Активности и рокови у спровођењу овог закона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8"/>
        <w:gridCol w:w="1954"/>
        <w:gridCol w:w="4118"/>
      </w:tblGrid>
      <w:tr w:rsidR="00800BC2" w:rsidRPr="00C42444" w14:paraId="23A0A880" w14:textId="77777777" w:rsidTr="00914B09">
        <w:tc>
          <w:tcPr>
            <w:tcW w:w="0" w:type="auto"/>
            <w:hideMark/>
          </w:tcPr>
          <w:p w14:paraId="452D11E2" w14:textId="77777777" w:rsidR="00CA64AF" w:rsidRPr="00C42444" w:rsidRDefault="00CA64AF" w:rsidP="00C424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42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Активност</w:t>
            </w:r>
          </w:p>
        </w:tc>
        <w:tc>
          <w:tcPr>
            <w:tcW w:w="0" w:type="auto"/>
            <w:hideMark/>
          </w:tcPr>
          <w:p w14:paraId="6D13DE7F" w14:textId="2900FF07" w:rsidR="00CA64AF" w:rsidRPr="00C42444" w:rsidRDefault="00C42444" w:rsidP="00C424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Рок</w:t>
            </w:r>
          </w:p>
        </w:tc>
        <w:tc>
          <w:tcPr>
            <w:tcW w:w="0" w:type="auto"/>
            <w:hideMark/>
          </w:tcPr>
          <w:p w14:paraId="2E4B8E59" w14:textId="67F768A5" w:rsidR="00CA64AF" w:rsidRPr="00C42444" w:rsidRDefault="00C42444" w:rsidP="00C424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Орган</w:t>
            </w:r>
            <w:r w:rsidR="00763758" w:rsidRPr="00C42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/ организација</w:t>
            </w:r>
            <w:r w:rsidR="00CA64AF" w:rsidRPr="00C42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/ организациона јединица</w:t>
            </w:r>
          </w:p>
        </w:tc>
      </w:tr>
      <w:tr w:rsidR="00800BC2" w:rsidRPr="00C42444" w14:paraId="0A415E5D" w14:textId="77777777" w:rsidTr="00914B09">
        <w:tc>
          <w:tcPr>
            <w:tcW w:w="0" w:type="auto"/>
            <w:hideMark/>
          </w:tcPr>
          <w:p w14:paraId="4A743CDD" w14:textId="6729C8B6" w:rsidR="00CA64AF" w:rsidRPr="00C42444" w:rsidRDefault="00CA64AF" w:rsidP="00CF75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CF750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</w:t>
            </w:r>
            <w:r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ђење интегрисаног информационог система „Е-боловање – Послодавац</w:t>
            </w:r>
            <w:r w:rsidR="007C744B" w:rsidRPr="007C74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”</w:t>
            </w:r>
          </w:p>
        </w:tc>
        <w:tc>
          <w:tcPr>
            <w:tcW w:w="0" w:type="auto"/>
            <w:hideMark/>
          </w:tcPr>
          <w:p w14:paraId="684FC53F" w14:textId="77777777" w:rsidR="00CA64AF" w:rsidRPr="00C42444" w:rsidRDefault="00CA64AF" w:rsidP="00F035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 почетка примене закона</w:t>
            </w:r>
          </w:p>
        </w:tc>
        <w:tc>
          <w:tcPr>
            <w:tcW w:w="0" w:type="auto"/>
            <w:hideMark/>
          </w:tcPr>
          <w:p w14:paraId="574EEF5B" w14:textId="130CE26A" w:rsidR="00CA64AF" w:rsidRPr="00C42444" w:rsidRDefault="00800BC2" w:rsidP="00F035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Канцеларија за информационе технологије и електронску управу,</w:t>
            </w:r>
            <w:r w:rsidR="00BC414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Министарство здравља,</w:t>
            </w:r>
            <w:r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CA64AF"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РФЗО и ИТ службе здравствених установа</w:t>
            </w:r>
          </w:p>
        </w:tc>
      </w:tr>
      <w:tr w:rsidR="00800BC2" w:rsidRPr="00C42444" w14:paraId="45CE71B0" w14:textId="77777777" w:rsidTr="00914B09">
        <w:tc>
          <w:tcPr>
            <w:tcW w:w="0" w:type="auto"/>
            <w:hideMark/>
          </w:tcPr>
          <w:p w14:paraId="08CDC345" w14:textId="77777777" w:rsidR="00CA64AF" w:rsidRPr="00C42444" w:rsidRDefault="00CA64AF" w:rsidP="00F035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Обука здравствених радника, послодаваца и администратора у здравственим установама</w:t>
            </w:r>
          </w:p>
        </w:tc>
        <w:tc>
          <w:tcPr>
            <w:tcW w:w="0" w:type="auto"/>
            <w:hideMark/>
          </w:tcPr>
          <w:p w14:paraId="58C8EB5B" w14:textId="3FFB82FC" w:rsidR="00CA64AF" w:rsidRPr="00C42444" w:rsidRDefault="00CF750A" w:rsidP="00F035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 почетка примене закона</w:t>
            </w:r>
          </w:p>
        </w:tc>
        <w:tc>
          <w:tcPr>
            <w:tcW w:w="0" w:type="auto"/>
            <w:hideMark/>
          </w:tcPr>
          <w:p w14:paraId="2EF9F23A" w14:textId="61335492" w:rsidR="00CA64AF" w:rsidRPr="00C42444" w:rsidRDefault="00800BC2" w:rsidP="00F035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Канцеларија за информационе технологије и електронску управу </w:t>
            </w:r>
          </w:p>
        </w:tc>
      </w:tr>
      <w:tr w:rsidR="00800BC2" w:rsidRPr="00C42444" w14:paraId="7B87530D" w14:textId="77777777" w:rsidTr="00800BC2">
        <w:trPr>
          <w:trHeight w:val="852"/>
        </w:trPr>
        <w:tc>
          <w:tcPr>
            <w:tcW w:w="0" w:type="auto"/>
            <w:hideMark/>
          </w:tcPr>
          <w:p w14:paraId="1BEC45E1" w14:textId="77777777" w:rsidR="00CA64AF" w:rsidRPr="00C42444" w:rsidRDefault="00CA64AF" w:rsidP="00F035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Комуникациона кампања и едукација грађана</w:t>
            </w:r>
          </w:p>
        </w:tc>
        <w:tc>
          <w:tcPr>
            <w:tcW w:w="0" w:type="auto"/>
            <w:hideMark/>
          </w:tcPr>
          <w:p w14:paraId="52419384" w14:textId="77777777" w:rsidR="00CA64AF" w:rsidRPr="00C42444" w:rsidRDefault="00CA64AF" w:rsidP="00F035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30 дана пре почетка примене</w:t>
            </w:r>
          </w:p>
        </w:tc>
        <w:tc>
          <w:tcPr>
            <w:tcW w:w="0" w:type="auto"/>
            <w:hideMark/>
          </w:tcPr>
          <w:p w14:paraId="38C5136F" w14:textId="0ABE78D2" w:rsidR="00CA64AF" w:rsidRPr="00C42444" w:rsidRDefault="00800BC2" w:rsidP="00F035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Канцеларија за информационе технологије и електронску управу</w:t>
            </w:r>
            <w:r w:rsidR="00CA64AF"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Министарство здравља</w:t>
            </w:r>
            <w:r w:rsidR="00BC414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РФЗО</w:t>
            </w:r>
          </w:p>
        </w:tc>
      </w:tr>
      <w:tr w:rsidR="00800BC2" w:rsidRPr="00CA64AF" w14:paraId="3A33B3B2" w14:textId="77777777" w:rsidTr="00914B09">
        <w:tc>
          <w:tcPr>
            <w:tcW w:w="0" w:type="auto"/>
            <w:hideMark/>
          </w:tcPr>
          <w:p w14:paraId="118A0FBD" w14:textId="77777777" w:rsidR="00CA64AF" w:rsidRPr="00C42444" w:rsidRDefault="00CA64AF" w:rsidP="00F035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Успостављање надзорног и извештајног механизма</w:t>
            </w:r>
          </w:p>
        </w:tc>
        <w:tc>
          <w:tcPr>
            <w:tcW w:w="0" w:type="auto"/>
            <w:hideMark/>
          </w:tcPr>
          <w:p w14:paraId="788A7C6E" w14:textId="601260E0" w:rsidR="00CA64AF" w:rsidRPr="00C42444" w:rsidRDefault="00CA64AF" w:rsidP="008729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 дана ступања закона на снагу</w:t>
            </w:r>
            <w:r w:rsidR="008729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д</w:t>
            </w:r>
            <w:r w:rsidR="00872993" w:rsidRPr="008729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 почетка примене</w:t>
            </w:r>
          </w:p>
        </w:tc>
        <w:tc>
          <w:tcPr>
            <w:tcW w:w="0" w:type="auto"/>
            <w:hideMark/>
          </w:tcPr>
          <w:p w14:paraId="73D47FB2" w14:textId="128FD0A3" w:rsidR="00CA64AF" w:rsidRPr="00CA64AF" w:rsidRDefault="00C42444" w:rsidP="00F035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МРЗБСП – Инспекторат за рад, М</w:t>
            </w:r>
            <w:r w:rsidR="008729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нистарство здравља – Сектор за инспекцијске послове, </w:t>
            </w:r>
            <w:r w:rsidR="00BC414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МДУЛС – Управни инспекторат, </w:t>
            </w:r>
            <w:r w:rsidR="00CA64AF" w:rsidRPr="00C4244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РФЗО</w:t>
            </w:r>
          </w:p>
        </w:tc>
      </w:tr>
    </w:tbl>
    <w:p w14:paraId="4CFF4F8E" w14:textId="77777777" w:rsidR="00C23753" w:rsidRDefault="00C23753" w:rsidP="00EA66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237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2) Одредити капацитете органа, односно организације који врше јавна овлашћења који је потребно ангажовати за примену прописа. Да ли су капацитети довољни за примену прописа? </w:t>
      </w:r>
    </w:p>
    <w:p w14:paraId="63A9105E" w14:textId="6044DDD6" w:rsidR="00CA64AF" w:rsidRPr="00CA64AF" w:rsidRDefault="00EA66C1" w:rsidP="00EA66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>За</w:t>
      </w:r>
      <w:r w:rsidR="00CA64AF"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примен</w:t>
      </w:r>
      <w:r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>у овог</w:t>
      </w:r>
      <w:r w:rsidR="00CA64AF"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закона </w:t>
      </w:r>
      <w:r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потребно је</w:t>
      </w:r>
      <w:r w:rsidR="00CA64AF"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ангажовање постојећих кадровских и техничких ресурса у </w:t>
      </w:r>
      <w:r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="00CA64AF"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ФЗО </w:t>
      </w:r>
      <w:r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>(</w:t>
      </w:r>
      <w:r w:rsidR="00CA64AF"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>рганизационе јединице задужене</w:t>
      </w:r>
      <w:r w:rsidR="00CA64AF"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информационе системе и правне послове</w:t>
      </w:r>
      <w:r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>), з</w:t>
      </w:r>
      <w:r w:rsidR="00CA64AF"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>дравствен</w:t>
      </w:r>
      <w:r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>им</w:t>
      </w:r>
      <w:r w:rsidR="00CA64AF"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установ</w:t>
      </w:r>
      <w:r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>ама (</w:t>
      </w:r>
      <w:r w:rsidR="00CA64AF"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>лекари опште праксе</w:t>
      </w:r>
      <w:r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="00CA64AF"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административно особље</w:t>
      </w:r>
      <w:r w:rsidRPr="00EA66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), министарствима надлежним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за послове здравља и рада (организационе јединице задужене</w:t>
      </w:r>
      <w:r w:rsidR="00CA64AF" w:rsidRPr="00CA64A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нормативу и дигитализацију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CA64AF" w:rsidRPr="00CA64A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24A482C" w14:textId="38D909FD" w:rsidR="00CA64AF" w:rsidRPr="003C4092" w:rsidRDefault="00CA64AF" w:rsidP="00421B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A64A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Капацитети су </w:t>
      </w:r>
      <w:r w:rsidRPr="00421BB4">
        <w:rPr>
          <w:rFonts w:ascii="Times New Roman" w:eastAsia="Times New Roman" w:hAnsi="Times New Roman" w:cs="Times New Roman"/>
          <w:sz w:val="24"/>
          <w:szCs w:val="24"/>
          <w:lang w:val="sr-Cyrl-RS"/>
        </w:rPr>
        <w:t>у основи довољни</w:t>
      </w:r>
      <w:r w:rsidRPr="00CA64AF">
        <w:rPr>
          <w:rFonts w:ascii="Times New Roman" w:eastAsia="Times New Roman" w:hAnsi="Times New Roman" w:cs="Times New Roman"/>
          <w:sz w:val="24"/>
          <w:szCs w:val="24"/>
          <w:lang w:val="sr-Cyrl-RS"/>
        </w:rPr>
        <w:t>, али је потребно</w:t>
      </w:r>
      <w:r w:rsidR="00421BB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</w:t>
      </w:r>
      <w:r w:rsidRPr="00CA64AF">
        <w:rPr>
          <w:rFonts w:ascii="Times New Roman" w:eastAsia="Times New Roman" w:hAnsi="Times New Roman" w:cs="Times New Roman"/>
          <w:sz w:val="24"/>
          <w:szCs w:val="24"/>
          <w:lang w:val="sr-Cyrl-RS"/>
        </w:rPr>
        <w:t>безбедити додатне ИТ ресурсе за интеграцију софтвера у здравственим установама које нису повезане</w:t>
      </w:r>
      <w:r w:rsidR="00421BB4">
        <w:rPr>
          <w:rFonts w:ascii="Times New Roman" w:eastAsia="Times New Roman" w:hAnsi="Times New Roman" w:cs="Times New Roman"/>
          <w:sz w:val="24"/>
          <w:szCs w:val="24"/>
          <w:lang w:val="sr-Cyrl-RS"/>
        </w:rPr>
        <w:t>, одржа</w:t>
      </w:r>
      <w:r w:rsidRPr="00CA64AF">
        <w:rPr>
          <w:rFonts w:ascii="Times New Roman" w:eastAsia="Times New Roman" w:hAnsi="Times New Roman" w:cs="Times New Roman"/>
          <w:sz w:val="24"/>
          <w:szCs w:val="24"/>
          <w:lang w:val="sr-Cyrl-RS"/>
        </w:rPr>
        <w:t>ти обуку за кориснике система</w:t>
      </w:r>
      <w:r w:rsidR="00421BB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спровести </w:t>
      </w:r>
      <w:r w:rsidR="001117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коорднацију </w:t>
      </w:r>
      <w:r w:rsidRPr="00CA64AF">
        <w:rPr>
          <w:rFonts w:ascii="Times New Roman" w:eastAsia="Times New Roman" w:hAnsi="Times New Roman" w:cs="Times New Roman"/>
          <w:sz w:val="24"/>
          <w:szCs w:val="24"/>
          <w:lang w:val="sr-Cyrl-RS"/>
        </w:rPr>
        <w:t>између</w:t>
      </w:r>
      <w:r w:rsidR="00421BB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надлежних органа</w:t>
      </w:r>
      <w:r w:rsidR="003142BE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421BB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CA64A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ради </w:t>
      </w:r>
      <w:r w:rsidR="003142B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усклађене и </w:t>
      </w:r>
      <w:r w:rsidRPr="00CA64AF">
        <w:rPr>
          <w:rFonts w:ascii="Times New Roman" w:eastAsia="Times New Roman" w:hAnsi="Times New Roman" w:cs="Times New Roman"/>
          <w:sz w:val="24"/>
          <w:szCs w:val="24"/>
          <w:lang w:val="sr-Cyrl-RS"/>
        </w:rPr>
        <w:t>уједначене примене.</w:t>
      </w:r>
    </w:p>
    <w:p w14:paraId="0E407747" w14:textId="2C7DECBA" w:rsidR="000C088E" w:rsidRPr="003C4092" w:rsidRDefault="00421BB4" w:rsidP="00421BB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Када је реч о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Републичк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фонд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здравствено осигурање (РФЗО)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, сматрамо да је у оквиру организационе јединице задужене за информационе системе п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отребно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/целисходно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ојачати тим за управљање и подршку новим API-јима и системским интерфејсима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, тако да би били потребно д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одатни ресурси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 два или три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ИТ инжењера/аналитичара у првих 6 месеци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примене. Када се ради о п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отреб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ном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ангажман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у РФЗО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правничким пословима - 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припреми подзаконских аката, уговора са софтверским провајдерима и здравственим установама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, налазимо да до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датно особље није нужно, али 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да 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је потребно укупно око 100 радних сати у првом кварталу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примене, због чега може бити потребно привремено ангажовање једног правног стручњака у овој области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04BE1AD" w14:textId="0BC424DF" w:rsidR="000C088E" w:rsidRDefault="00320EA4" w:rsidP="00320EA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Што се тиче з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дравствен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установ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а, и то 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око 3</w:t>
      </w:r>
      <w:r w:rsidR="00EA66C1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0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0 </w:t>
      </w:r>
      <w:r w:rsidR="00EA66C1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 350 </w:t>
      </w:r>
      <w:r w:rsidR="000C088E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установа примарног и секундарног нивоа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3C4092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складу са планом мреже здравствених установа у Републици Србији, 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у наставку дајемо најпре њихов преглед, па потом процену.</w:t>
      </w:r>
    </w:p>
    <w:p w14:paraId="2081F143" w14:textId="6E6E04E8" w:rsidR="00320EA4" w:rsidRPr="003C4092" w:rsidRDefault="00320EA4" w:rsidP="00320EA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0C3E5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Табела</w:t>
      </w:r>
      <w:r w:rsidR="000C3E5E" w:rsidRPr="000C3E5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8</w:t>
      </w:r>
      <w:r w:rsidRPr="000C3E5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: Здравствене</w:t>
      </w:r>
      <w:r w:rsidRPr="003C409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установе примарног и секундарног нивоа у Републици Србији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7"/>
        <w:gridCol w:w="4371"/>
        <w:gridCol w:w="3122"/>
      </w:tblGrid>
      <w:tr w:rsidR="00EA66C1" w:rsidRPr="00EA66C1" w14:paraId="285555D5" w14:textId="77777777" w:rsidTr="00EA66C1">
        <w:trPr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929B90" w14:textId="77777777" w:rsidR="00EA66C1" w:rsidRPr="00EA66C1" w:rsidRDefault="00EA66C1" w:rsidP="00320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</w:pPr>
            <w:r w:rsidRPr="00EA66C1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>Ниво здравствене заштите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668E53" w14:textId="77777777" w:rsidR="00EA66C1" w:rsidRPr="00EA66C1" w:rsidRDefault="00EA66C1" w:rsidP="00320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</w:pPr>
            <w:r w:rsidRPr="00EA66C1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>Тип установа (примери)</w:t>
            </w:r>
          </w:p>
        </w:tc>
        <w:tc>
          <w:tcPr>
            <w:tcW w:w="3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6EC3AC" w14:textId="77777777" w:rsidR="00EA66C1" w:rsidRPr="00EA66C1" w:rsidRDefault="00EA66C1" w:rsidP="00320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</w:pPr>
            <w:r w:rsidRPr="00EA66C1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RS"/>
              </w:rPr>
              <w:t>Број установа (приближно)</w:t>
            </w:r>
          </w:p>
        </w:tc>
      </w:tr>
      <w:tr w:rsidR="00EA66C1" w:rsidRPr="00EA66C1" w14:paraId="3A2AD043" w14:textId="77777777" w:rsidTr="00EA66C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CCA96A1" w14:textId="7F8E5D8A" w:rsidR="00EA66C1" w:rsidRPr="00EA66C1" w:rsidRDefault="00EA66C1" w:rsidP="00320EA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</w:pPr>
            <w:r w:rsidRPr="003C409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Примарни ниво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3019EEB" w14:textId="77777777" w:rsidR="00EA66C1" w:rsidRPr="00EA66C1" w:rsidRDefault="00EA66C1" w:rsidP="00320EA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</w:pPr>
            <w:r w:rsidRPr="00EA66C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Домови здравља, апотеке, заводи (нпр. завод за здравствену заштиту радника, завод за геронтологију)</w:t>
            </w:r>
          </w:p>
        </w:tc>
        <w:tc>
          <w:tcPr>
            <w:tcW w:w="3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03A5DBC" w14:textId="33786197" w:rsidR="00EA66C1" w:rsidRPr="00EA66C1" w:rsidRDefault="00EA66C1" w:rsidP="00320EA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</w:pPr>
            <w:r w:rsidRPr="00EA66C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Око 150 домова здравља (у јавно</w:t>
            </w:r>
            <w:r w:rsidR="003C4092" w:rsidRPr="003C409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ј</w:t>
            </w:r>
            <w:r w:rsidR="00CF75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="003C4092" w:rsidRPr="003C409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својини</w:t>
            </w:r>
            <w:r w:rsidRPr="00EA66C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) и 1615 здравствених амбуланти укупно</w:t>
            </w:r>
          </w:p>
        </w:tc>
      </w:tr>
      <w:tr w:rsidR="00EA66C1" w:rsidRPr="00EA66C1" w14:paraId="77EB1DCE" w14:textId="77777777" w:rsidTr="00CF750A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846173" w14:textId="63B36C80" w:rsidR="00EA66C1" w:rsidRPr="00EA66C1" w:rsidRDefault="00EA66C1" w:rsidP="00320EA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</w:pPr>
            <w:r w:rsidRPr="003C409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Секундарни ниво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center"/>
            <w:hideMark/>
          </w:tcPr>
          <w:p w14:paraId="4C9B3AB7" w14:textId="2AC4F423" w:rsidR="00EA66C1" w:rsidRPr="00EA66C1" w:rsidRDefault="00EA66C1" w:rsidP="00CF750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</w:pPr>
            <w:r w:rsidRPr="00EA66C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Опште болнице, специјализоване болнице, здравствени центри</w:t>
            </w:r>
          </w:p>
        </w:tc>
        <w:tc>
          <w:tcPr>
            <w:tcW w:w="3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A285252" w14:textId="77777777" w:rsidR="00EA66C1" w:rsidRPr="00EA66C1" w:rsidRDefault="00EA66C1" w:rsidP="00320EA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</w:pPr>
            <w:r w:rsidRPr="00EA66C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RS"/>
              </w:rPr>
              <w:t>Око 140 општих и специјализованих болница и здравствених центара, укључујући и рехабилитационе установе</w:t>
            </w:r>
          </w:p>
        </w:tc>
      </w:tr>
    </w:tbl>
    <w:p w14:paraId="0B6424A4" w14:textId="6ECB56BD" w:rsidR="000C088E" w:rsidRPr="00461948" w:rsidRDefault="000C088E" w:rsidP="004619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Циљна група корисника </w:t>
      </w:r>
      <w:r w:rsidR="00A93D54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у овом смислу су л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екари опште праксе</w:t>
      </w:r>
      <w:r w:rsidR="003C4092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, којих има 2.008, према подацима Института за јавно здравље „Батут</w:t>
      </w:r>
      <w:r w:rsidR="00013AD3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3C4092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, а који с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вакодневно уносе потврде о привременој спречености</w:t>
      </w:r>
      <w:r w:rsidR="003C4092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рад. 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Увођењем система елиминише се потреба за ручним попуњавањем и штампањем </w:t>
      </w:r>
      <w:r w:rsidR="003C4092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ове врсте 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докумената.</w:t>
      </w:r>
      <w:r w:rsidR="003C4092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Што се тиче а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дминистративно</w:t>
      </w:r>
      <w:r w:rsidR="003C4092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особљ</w:t>
      </w:r>
      <w:r w:rsidR="003C4092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а, оно треба да буде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прераспоређено са </w:t>
      </w:r>
      <w:r w:rsidR="003C4092"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послова/радњи</w:t>
      </w:r>
      <w:r w:rsidRPr="003C40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скенирања/архивирања на унос и </w:t>
      </w:r>
      <w:r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контролу података у реалном времену.</w:t>
      </w:r>
    </w:p>
    <w:p w14:paraId="07BF92A4" w14:textId="38EBF7E1" w:rsidR="000C088E" w:rsidRPr="00461948" w:rsidRDefault="005079AE" w:rsidP="004619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Код п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отребни</w:t>
      </w:r>
      <w:r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х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ресурс</w:t>
      </w:r>
      <w:r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у погледу 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ИТ интеграциј</w:t>
      </w:r>
      <w:r w:rsidR="007C368C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е, п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роц</w:t>
      </w:r>
      <w:r w:rsidR="007C368C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ена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C368C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ј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е да око 20% установа (око 70) нема директну интеграцију и да је потребна иницијална надоградња.</w:t>
      </w:r>
      <w:r w:rsidR="007C368C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рошак по установ</w:t>
      </w:r>
      <w:r w:rsidR="007C368C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процењује се на око од 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200.000</w:t>
      </w:r>
      <w:r w:rsidR="007C368C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 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400.000 </w:t>
      </w:r>
      <w:r w:rsidR="006F28BC">
        <w:rPr>
          <w:rFonts w:ascii="Times New Roman" w:eastAsia="Times New Roman" w:hAnsi="Times New Roman" w:cs="Times New Roman"/>
          <w:sz w:val="24"/>
          <w:szCs w:val="24"/>
          <w:lang w:val="sr-Cyrl-RS"/>
        </w:rPr>
        <w:t>РСД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(лиценце, опрема, сервисирање)</w:t>
      </w:r>
      <w:r w:rsidR="007C368C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, са у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купни</w:t>
      </w:r>
      <w:r w:rsidR="007C368C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тро</w:t>
      </w:r>
      <w:r w:rsidR="007C368C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шком од око 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21.000.000 </w:t>
      </w:r>
      <w:r w:rsidR="006F28BC">
        <w:rPr>
          <w:rFonts w:ascii="Times New Roman" w:eastAsia="Times New Roman" w:hAnsi="Times New Roman" w:cs="Times New Roman"/>
          <w:sz w:val="24"/>
          <w:szCs w:val="24"/>
          <w:lang w:val="sr-Cyrl-RS"/>
        </w:rPr>
        <w:t>РСД</w:t>
      </w:r>
      <w:r w:rsidR="007C368C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. Када је реч о обукама за коришћење новог система, оне могу да се спроводе на даљину (eLearning) за око 4.000 учесника (2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.000 лекара + 2.000 административних службеника</w:t>
      </w:r>
      <w:r w:rsidR="007C368C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), са трошком од око 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2.000 </w:t>
      </w:r>
      <w:r w:rsidR="006F28BC">
        <w:rPr>
          <w:rFonts w:ascii="Times New Roman" w:eastAsia="Times New Roman" w:hAnsi="Times New Roman" w:cs="Times New Roman"/>
          <w:sz w:val="24"/>
          <w:szCs w:val="24"/>
          <w:lang w:val="sr-Cyrl-RS"/>
        </w:rPr>
        <w:t>РСД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 учеснику</w:t>
      </w:r>
      <w:r w:rsidR="007C368C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, што даје укупни износ од око 8</w:t>
      </w:r>
      <w:r w:rsidR="000C088E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.000.000 </w:t>
      </w:r>
      <w:r w:rsidR="006F28BC">
        <w:rPr>
          <w:rFonts w:ascii="Times New Roman" w:eastAsia="Times New Roman" w:hAnsi="Times New Roman" w:cs="Times New Roman"/>
          <w:sz w:val="24"/>
          <w:szCs w:val="24"/>
          <w:lang w:val="sr-Cyrl-RS"/>
        </w:rPr>
        <w:t>РСД</w:t>
      </w:r>
      <w:r w:rsidR="00461948" w:rsidRPr="0046194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DBCB53F" w14:textId="75EF7269" w:rsidR="000C088E" w:rsidRDefault="00105989" w:rsidP="0010598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>Што се тиче надлежних органа – Канцеларије за ИТ и е-Управу и надлежних министарстава, у иницијалној фази примене биће ангажовани р</w:t>
      </w:r>
      <w:r w:rsidR="000C088E"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>есори за прописе и дигитализацију</w:t>
      </w:r>
      <w:r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припреми подзаконског прописа</w:t>
      </w:r>
      <w:r w:rsidR="000C088E"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координацији а</w:t>
      </w:r>
      <w:r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>ктивности. Када је реч о т</w:t>
      </w:r>
      <w:r w:rsidR="000C088E"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>ехничк</w:t>
      </w:r>
      <w:r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r w:rsidR="000C088E"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надзор</w:t>
      </w:r>
      <w:r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0C088E"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стандардизациј</w:t>
      </w:r>
      <w:r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0C088E"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интерфејса</w:t>
      </w:r>
      <w:r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C088E"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Канцеларија за ИТ </w:t>
      </w:r>
      <w:r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>и -Управу</w:t>
      </w:r>
      <w:r w:rsidR="000C088E"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већ има развијене капацитете за надзор сервиса.</w:t>
      </w:r>
      <w:r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Ови т</w:t>
      </w:r>
      <w:r w:rsidR="000C088E"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>рошкови су покривени кроз буџетске линије/пројекте</w:t>
      </w:r>
      <w:r w:rsidRPr="00105989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6B5E9503" w14:textId="004BCEF4" w:rsidR="00443253" w:rsidRPr="00105989" w:rsidRDefault="00443253" w:rsidP="0010598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43253">
        <w:rPr>
          <w:rFonts w:ascii="Times New Roman" w:eastAsia="Times New Roman" w:hAnsi="Times New Roman" w:cs="Times New Roman"/>
          <w:sz w:val="24"/>
          <w:szCs w:val="24"/>
          <w:lang w:val="sr-Cyrl-RS"/>
        </w:rPr>
        <w:t>Канцеларија за ИТ и е-Управу ће истренирати виртуелног асистента (chat-bot) за пружање подршке у односу на употребу софтверског решења „е-Боловање – Послодавац</w:t>
      </w:r>
      <w:r w:rsidR="00582CA7" w:rsidRPr="00582CA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Pr="00443253">
        <w:rPr>
          <w:rFonts w:ascii="Times New Roman" w:eastAsia="Times New Roman" w:hAnsi="Times New Roman" w:cs="Times New Roman"/>
          <w:sz w:val="24"/>
          <w:szCs w:val="24"/>
          <w:lang w:val="sr-Cyrl-RS"/>
        </w:rPr>
        <w:t>, а подршка ће бити омогућена и преко запослених у контакт центру/канцеларији за подршку. Обука лица за рад у систему ће бити спроведена преко Канцеларије за ИТ и е-управу путем ангажовања непосредног извођача.</w:t>
      </w:r>
    </w:p>
    <w:p w14:paraId="069618D4" w14:textId="77777777" w:rsidR="00C23753" w:rsidRDefault="00C23753" w:rsidP="00A82D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237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3) На који начин предложена решења прописа утичу на ефикасност, одговорност и транспарентност рада органа, односно организација који врше јавна овлашћења надлежних за примену прописа?</w:t>
      </w:r>
    </w:p>
    <w:p w14:paraId="38BC7A05" w14:textId="520AE23D" w:rsidR="00D42AA8" w:rsidRPr="00A82DC8" w:rsidRDefault="00D42AA8" w:rsidP="00A82D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Предложена решења </w:t>
      </w:r>
      <w:r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непосред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но доприносе унапређењу ефикасности јавне управе и поједностављују административне процедуре</w:t>
      </w:r>
      <w:r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и то најпре 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кроз</w:t>
      </w:r>
      <w:r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утоматизацију размене података</w:t>
      </w:r>
      <w:r w:rsidR="00D67F4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документа</w:t>
      </w:r>
      <w:r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. На основу овог закона, у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споставља се јединствени електронски канал за размену података</w:t>
      </w:r>
      <w:r w:rsidR="005B5A4E">
        <w:rPr>
          <w:rFonts w:ascii="Times New Roman" w:eastAsia="Times New Roman" w:hAnsi="Times New Roman" w:cs="Times New Roman"/>
          <w:sz w:val="24"/>
          <w:szCs w:val="24"/>
          <w:lang w:val="sr-Cyrl-RS"/>
        </w:rPr>
        <w:t>, докумената и обавештења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између здравствених установа, послодаваца и РФЗО</w:t>
      </w:r>
      <w:r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, с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мањује се потреба за ручном доставом докумената и непосредним контактима између</w:t>
      </w:r>
      <w:r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органа и с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краћује просечно време обраде захтева, што омогућава брже доношење решења о правима запослених.</w:t>
      </w:r>
      <w:r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5C189D29" w14:textId="464CB23D" w:rsidR="00D42AA8" w:rsidRPr="00D42AA8" w:rsidRDefault="00D42AA8" w:rsidP="00A82D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Истовремено, с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мањењ</w:t>
      </w:r>
      <w:r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уј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 </w:t>
      </w:r>
      <w:r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број спорних случајева и административно оптерећењ</w:t>
      </w:r>
      <w:r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е, јер престаје 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потреба за вишеструким проверама, ручним уносом података и физичким архивирањем документације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. Такође, с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мањује се број при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говора и притужби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због недоследности у подацима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, а з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апослени у РФЗО и послодавци имају приступ стандардизованим информацијама, што доводи до уједначен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праксе.</w:t>
      </w:r>
    </w:p>
    <w:p w14:paraId="079B9EB3" w14:textId="26F9BF69" w:rsidR="00D42AA8" w:rsidRPr="00D42AA8" w:rsidRDefault="00D42AA8" w:rsidP="00A82D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Побољшана 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 и 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контрола злоупотреба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, јер и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нтегрисани систем омогућава унакрсну проверу података о запосленима, дијагнозама, трајању боловања и укупном броју издатих потврда.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Тиме се с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мањује могућност фалсификовања документације и вештачког продуж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ава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ња боловања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, те омогућава п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равовремен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 утврђивање 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атипичних образаца понашања (нпр. прекомерно коришћење краткорочних боловања).</w:t>
      </w:r>
    </w:p>
    <w:p w14:paraId="3FA7C169" w14:textId="009E4C5C" w:rsidR="00D42AA8" w:rsidRPr="00D42AA8" w:rsidRDefault="00D42AA8" w:rsidP="00A82D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ледствено, очекује се с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краћење времена обраде захтева са просечно 7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10 дана на 1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2 дана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као и с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мањење броја спорних предмета и 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приговора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40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60%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, праћено п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овећање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укупног капацитета РФЗО и послодаваца за обраду већег броја захтева са истим људским ресурсима.</w:t>
      </w:r>
    </w:p>
    <w:p w14:paraId="534BD32C" w14:textId="055CA5B2" w:rsidR="00D42AA8" w:rsidRPr="00D42AA8" w:rsidRDefault="00D42AA8" w:rsidP="00A82D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Предложена решења уводе висок степен техничке и процесне транспарентности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, будући да с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ви захтеви, документи и одлуке имају електронски траг који је видљив надлежним органима, што омогућава лакше праћење и контролу процеса.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Информације о статусу поступка и разлозима за одлуке биће доступне надлежним институцијама у реалном времену.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Надлежни органи </w:t>
      </w:r>
      <w:r w:rsidR="00A82DC8"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тиме </w:t>
      </w:r>
      <w:r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добијају бржи и једноставнији приступ подацима, чиме се спречава прикривање неправилности.</w:t>
      </w:r>
    </w:p>
    <w:p w14:paraId="79449CB2" w14:textId="192C28FA" w:rsidR="00D42AA8" w:rsidRPr="00D42AA8" w:rsidRDefault="00A82DC8" w:rsidP="00A82D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Очекује се п</w:t>
      </w:r>
      <w:r w:rsidR="00D42AA8"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овећање доступности података надлежним органима за 80</w:t>
      </w:r>
      <w:r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="00D42AA8"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100%</w:t>
      </w:r>
      <w:r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, с</w:t>
      </w:r>
      <w:r w:rsidR="00D42AA8"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мањење ризика од ненамерних грешака и злоупотреба</w:t>
      </w:r>
      <w:r w:rsidRPr="00A82DC8"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као и следствено ј</w:t>
      </w:r>
      <w:r w:rsidR="00D42AA8"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ачање поверења грађана и послодаваца у рад институција.</w:t>
      </w:r>
    </w:p>
    <w:p w14:paraId="1879B180" w14:textId="611244BD" w:rsidR="00D42AA8" w:rsidRPr="00D42AA8" w:rsidRDefault="00A82DC8" w:rsidP="007A03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Нови с</w:t>
      </w:r>
      <w:r w:rsidR="00D42AA8"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истем уводи јасно дефинисане улоге, надлежности и рокове за све учеснике</w:t>
      </w:r>
      <w:r w:rsidR="007A0311"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, с обзиром да Р</w:t>
      </w:r>
      <w:r w:rsidR="00D42AA8"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ФЗО, послодавци и здравствене установе имају прецизно прописане обавезе и рокове за достављање и обраду података</w:t>
      </w:r>
      <w:r w:rsidR="007A0311"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, те да се у</w:t>
      </w:r>
      <w:r w:rsidR="00D42AA8"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спостављају механизми надзора над применом прописа, укључујући аутоматизоване извештаје о кашњењима и неправилностима.</w:t>
      </w:r>
      <w:r w:rsidR="007A0311"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Новим решењима се с</w:t>
      </w:r>
      <w:r w:rsidR="00D42AA8"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мањује се дискреционо по</w:t>
      </w:r>
      <w:r w:rsidR="007A0311"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ступа</w:t>
      </w:r>
      <w:r w:rsidR="00D42AA8"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ње </w:t>
      </w:r>
      <w:r w:rsidR="007A0311"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овлашћених лица</w:t>
      </w:r>
      <w:r w:rsidR="00D42AA8"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, а повећава правна сигурност за све стране у поступку.</w:t>
      </w:r>
    </w:p>
    <w:p w14:paraId="384963EC" w14:textId="55C9695C" w:rsidR="00D42AA8" w:rsidRPr="00D42AA8" w:rsidRDefault="007A0311" w:rsidP="007A03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Следом, очекује се с</w:t>
      </w:r>
      <w:r w:rsidR="00D42AA8"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мањење ризика од непримереног поступања и корупције</w:t>
      </w: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као и б</w:t>
      </w:r>
      <w:r w:rsidR="00D42AA8" w:rsidRPr="00D42AA8">
        <w:rPr>
          <w:rFonts w:ascii="Times New Roman" w:eastAsia="Times New Roman" w:hAnsi="Times New Roman" w:cs="Times New Roman"/>
          <w:sz w:val="24"/>
          <w:szCs w:val="24"/>
          <w:lang w:val="sr-Cyrl-RS"/>
        </w:rPr>
        <w:t>оља координација између здравствених установа, РФЗО и послодаваца.</w:t>
      </w:r>
    </w:p>
    <w:p w14:paraId="2BE48015" w14:textId="77777777" w:rsidR="00C23753" w:rsidRDefault="00C23753" w:rsidP="00BE60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237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4) На који начин предложена решења прописа утичу на владавину права?</w:t>
      </w:r>
    </w:p>
    <w:p w14:paraId="125E62B6" w14:textId="7CDC5637" w:rsidR="007A0311" w:rsidRPr="007A0311" w:rsidRDefault="007A0311" w:rsidP="00BE60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Предложени закон има значајан утицај на унапређење владавине права и јачање правне сигурности</w:t>
      </w:r>
      <w:r w:rsidRPr="00BE6090">
        <w:rPr>
          <w:rFonts w:ascii="Times New Roman" w:eastAsia="Times New Roman" w:hAnsi="Times New Roman" w:cs="Times New Roman"/>
          <w:sz w:val="24"/>
          <w:szCs w:val="24"/>
          <w:lang w:val="sr-Cyrl-RS"/>
        </w:rPr>
        <w:t>. Најпре, у</w:t>
      </w: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вођењем јасно уређене електронске процедуре за размену података између здравствених установа, послодаваца и РФЗО повећава се предвидивост и конзистентност у примени прописа.</w:t>
      </w:r>
      <w:r w:rsidRPr="00BE60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Запослен</w:t>
      </w: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и и послодавци добијају једнаке услове за остваривање права, чиме се смањује правна несигурност и ризик од различитог тумачења истих ситуација.</w:t>
      </w:r>
    </w:p>
    <w:p w14:paraId="3300329E" w14:textId="242C1FD3" w:rsidR="007A0311" w:rsidRPr="007A0311" w:rsidRDefault="007A0311" w:rsidP="00BE60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 омогућава брже и транспарентније остваривање права на накнаду зараде у случају привремене спречености за рад.</w:t>
      </w:r>
      <w:r w:rsidRPr="00BE60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Увођењем аутоматизованих механизама за унакрсну проверу података омогућава се правовремена детекција злоупотреба и неправилности.</w:t>
      </w:r>
      <w:r w:rsidRPr="00BE60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Поступци се скраћују и поједностављују, а решења постају доступна у значајно краћем року, што повећава поверење грађана у </w:t>
      </w:r>
      <w:r w:rsidR="00BE6090" w:rsidRPr="00BE60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рад </w:t>
      </w: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институциј</w:t>
      </w:r>
      <w:r w:rsidR="00BE6090" w:rsidRPr="00BE609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3A6907E" w14:textId="09CF8E5F" w:rsidR="007A0311" w:rsidRPr="007A0311" w:rsidRDefault="007A0311" w:rsidP="00BE60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Јединствен систем евиденције и аутоматизовано поступање обезбеђују равноправан третман свих субјеката</w:t>
      </w:r>
      <w:r w:rsidR="00BE6090" w:rsidRPr="00BE60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Сви учесници у поступку (запослени, послодавци, РФЗО, здравствене установе) имају исте услове и стандарде примене, што смањује простор за арбитрарност и могуће неправилности.</w:t>
      </w:r>
      <w:r w:rsidR="00BE6090" w:rsidRPr="00BE60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Уједначена примена прописа смањује број спорних предмета и судских поступака.</w:t>
      </w:r>
    </w:p>
    <w:p w14:paraId="6F699E14" w14:textId="2DCCCBCA" w:rsidR="007A0311" w:rsidRPr="007A0311" w:rsidRDefault="007A0311" w:rsidP="00BE60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Систем интегрисане размене података ојачава координацију између здравствених установа, РФЗО, послодаваца и других надлежних органа</w:t>
      </w:r>
      <w:r w:rsidR="00BE6090" w:rsidRPr="00BE60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субјеката</w:t>
      </w: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BE6090" w:rsidRPr="00BE60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Успостављањем јединствених протокола и аутоматизованих токова информација, смањују се </w:t>
      </w:r>
      <w:r w:rsidR="00BE6090" w:rsidRPr="00BE6090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правне</w:t>
      </w: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празнине и </w:t>
      </w:r>
      <w:r w:rsidR="00BE6090" w:rsidRPr="00BE6090">
        <w:rPr>
          <w:rFonts w:ascii="Times New Roman" w:eastAsia="Times New Roman" w:hAnsi="Times New Roman" w:cs="Times New Roman"/>
          <w:sz w:val="24"/>
          <w:szCs w:val="24"/>
          <w:lang w:val="sr-Cyrl-RS"/>
        </w:rPr>
        <w:t>нејасноће</w:t>
      </w: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примени прописа.</w:t>
      </w:r>
      <w:r w:rsidR="00BE6090" w:rsidRPr="00BE60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Такође, с</w:t>
      </w:r>
      <w:r w:rsidRPr="007A0311">
        <w:rPr>
          <w:rFonts w:ascii="Times New Roman" w:eastAsia="Times New Roman" w:hAnsi="Times New Roman" w:cs="Times New Roman"/>
          <w:sz w:val="24"/>
          <w:szCs w:val="24"/>
          <w:lang w:val="sr-Cyrl-RS"/>
        </w:rPr>
        <w:t>арадња између органа омогућава брже отклањање неправилности и уједначава праксу, што води ка бољој заштити права свих учесника.</w:t>
      </w:r>
    </w:p>
    <w:p w14:paraId="1DF53C12" w14:textId="77777777" w:rsidR="00CA64AF" w:rsidRPr="00CA64AF" w:rsidRDefault="00CA64AF" w:rsidP="00F0351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A64A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8. Анализа финансијских ефеката</w:t>
      </w:r>
    </w:p>
    <w:p w14:paraId="640E3D54" w14:textId="72DC26B9" w:rsidR="00CA64AF" w:rsidRPr="00CA64AF" w:rsidRDefault="00C23753" w:rsidP="00F0351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237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1) Колико износе јавни расходи примене прописа и из којих извора финансирања ће се обезбедити средства?</w:t>
      </w:r>
    </w:p>
    <w:p w14:paraId="38132B2D" w14:textId="5EC3DF96" w:rsidR="003A2F8D" w:rsidRPr="006A3F82" w:rsidRDefault="003A2F8D" w:rsidP="003A2F8D">
      <w:pPr>
        <w:tabs>
          <w:tab w:val="left" w:pos="360"/>
        </w:tabs>
        <w:spacing w:after="0" w:line="240" w:lineRule="auto"/>
        <w:jc w:val="both"/>
        <w:rPr>
          <w:rFonts w:asciiTheme="majorBidi" w:eastAsia="MS Mincho" w:hAnsiTheme="majorBidi" w:cstheme="majorBidi"/>
          <w:sz w:val="24"/>
          <w:szCs w:val="24"/>
          <w:lang w:val="sr-Cyrl-RS"/>
        </w:rPr>
      </w:pPr>
      <w:r w:rsidRPr="006A3F82">
        <w:rPr>
          <w:rFonts w:ascii="Times New Roman" w:hAnsi="Times New Roman" w:cs="Times New Roman"/>
          <w:sz w:val="24"/>
          <w:szCs w:val="24"/>
          <w:lang w:val="sr-Cyrl-RS"/>
        </w:rPr>
        <w:t xml:space="preserve">За спровођење овог закона су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чланом 5. З</w:t>
      </w:r>
      <w:r w:rsidRPr="00EF05BE">
        <w:rPr>
          <w:rFonts w:ascii="Times New Roman" w:hAnsi="Times New Roman" w:cs="Times New Roman"/>
          <w:sz w:val="24"/>
          <w:szCs w:val="24"/>
          <w:lang w:val="sr-Cyrl-RS"/>
        </w:rPr>
        <w:t>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EF05BE">
        <w:rPr>
          <w:rFonts w:ascii="Times New Roman" w:hAnsi="Times New Roman" w:cs="Times New Roman"/>
          <w:sz w:val="24"/>
          <w:szCs w:val="24"/>
          <w:lang w:val="sr-Cyrl-RS"/>
        </w:rPr>
        <w:t>о буџету Републике Србије за 2025. годину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гласник РС</w:t>
      </w:r>
      <w:r w:rsidR="00013AD3">
        <w:rPr>
          <w:rFonts w:ascii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број </w:t>
      </w:r>
      <w:r w:rsidRPr="00EF05BE">
        <w:rPr>
          <w:rFonts w:ascii="Times New Roman" w:hAnsi="Times New Roman" w:cs="Times New Roman"/>
          <w:sz w:val="24"/>
          <w:szCs w:val="24"/>
          <w:lang w:val="sr-Cyrl-RS"/>
        </w:rPr>
        <w:t>94/24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6A3F82">
        <w:rPr>
          <w:rFonts w:ascii="Times New Roman" w:hAnsi="Times New Roman" w:cs="Times New Roman"/>
          <w:sz w:val="24"/>
          <w:szCs w:val="24"/>
          <w:lang w:val="sr-Cyrl-RS"/>
        </w:rPr>
        <w:t>обезбеђена средства Канцеларији за информационе технологије и електронску управу на</w:t>
      </w:r>
      <w:r w:rsidRPr="006A3F82">
        <w:rPr>
          <w:rFonts w:asciiTheme="majorBidi" w:eastAsia="MS Mincho" w:hAnsiTheme="majorBidi" w:cstheme="majorBidi"/>
          <w:sz w:val="24"/>
          <w:szCs w:val="24"/>
          <w:lang w:val="sr-Cyrl-RS"/>
        </w:rPr>
        <w:t xml:space="preserve"> Разделу 51 - Канцеларија за информационе технологије и електронску управу, Програм 0614 – Информационе технологије и електронска управа, Пројекат 5003 – </w:t>
      </w:r>
      <w:r w:rsidRPr="006A3F82">
        <w:rPr>
          <w:rFonts w:ascii="Times New Roman" w:hAnsi="Times New Roman" w:cs="Times New Roman"/>
          <w:sz w:val="24"/>
          <w:szCs w:val="24"/>
          <w:lang w:val="sr-Cyrl-RS"/>
        </w:rPr>
        <w:t>Имплементације електронских регистара органа и организација јавне управе и људских ресурса у систему јавне управе</w:t>
      </w:r>
      <w:r w:rsidRPr="006A3F82">
        <w:rPr>
          <w:rFonts w:asciiTheme="majorBidi" w:eastAsia="MS Mincho" w:hAnsiTheme="majorBidi" w:cstheme="majorBidi"/>
          <w:sz w:val="24"/>
          <w:szCs w:val="24"/>
          <w:lang w:val="sr-Cyrl-RS"/>
        </w:rPr>
        <w:t>, Функција 140 - Основно истраживање, Економска класификација – 515 – Нематеријална имовина у износу од 150.000.000,00 динара са припадајућим порезом на додату вредност за 2025. годину, као и планирана средства за 2026. годину у износу од 130.000.000,00 динара са припадајућим порезом на додату вредност.</w:t>
      </w:r>
    </w:p>
    <w:p w14:paraId="1F84FEEA" w14:textId="77777777" w:rsidR="00C23753" w:rsidRDefault="00C23753" w:rsidP="008663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2375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2) Какве ће ефекте предложена решења прописа имати на јавне приходе и расходе?</w:t>
      </w:r>
    </w:p>
    <w:p w14:paraId="7A91BBD9" w14:textId="40C34D9B" w:rsidR="00395B71" w:rsidRDefault="00866380" w:rsidP="008663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66380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Процењени е</w:t>
      </w:r>
      <w:r w:rsidR="00CA64AF" w:rsidRPr="00866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фекти на јавне </w:t>
      </w:r>
      <w:r w:rsidR="00395B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приходе и </w:t>
      </w:r>
      <w:r w:rsidR="00CA64AF" w:rsidRPr="00866380">
        <w:rPr>
          <w:rFonts w:ascii="Times New Roman" w:eastAsia="Times New Roman" w:hAnsi="Times New Roman" w:cs="Times New Roman"/>
          <w:sz w:val="24"/>
          <w:szCs w:val="24"/>
          <w:lang w:val="sr-Cyrl-RS"/>
        </w:rPr>
        <w:t>расходе</w:t>
      </w:r>
      <w:r w:rsidRPr="00866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су позитивни. </w:t>
      </w:r>
    </w:p>
    <w:p w14:paraId="2D9247F0" w14:textId="0DDBCD5E" w:rsidR="001524D7" w:rsidRPr="00134B07" w:rsidRDefault="001524D7" w:rsidP="00134B07">
      <w:pPr>
        <w:pStyle w:val="NormalWeb"/>
        <w:jc w:val="both"/>
        <w:rPr>
          <w:lang w:val="sr-Cyrl-RS"/>
        </w:rPr>
      </w:pPr>
      <w:r w:rsidRPr="00134B07">
        <w:rPr>
          <w:rStyle w:val="Strong"/>
          <w:b w:val="0"/>
          <w:bCs w:val="0"/>
          <w:lang w:val="sr-Cyrl-RS"/>
        </w:rPr>
        <w:t>Директних ефеката на јавне приходе нема, јер овај з</w:t>
      </w:r>
      <w:r w:rsidRPr="00134B07">
        <w:rPr>
          <w:lang w:val="sr-Cyrl-RS"/>
        </w:rPr>
        <w:t>акон не уводи нове порезе или непореске дажбине, нити мења стопе, обвезнике или начине наплате. Ме</w:t>
      </w:r>
      <w:r w:rsidR="008B5AA2">
        <w:rPr>
          <w:lang w:val="sr-Cyrl-RS"/>
        </w:rPr>
        <w:t>ђ</w:t>
      </w:r>
      <w:r w:rsidRPr="00134B07">
        <w:rPr>
          <w:lang w:val="sr-Cyrl-RS"/>
        </w:rPr>
        <w:t>утим, постоје позитивни и</w:t>
      </w:r>
      <w:r w:rsidRPr="00134B07">
        <w:rPr>
          <w:rStyle w:val="Strong"/>
          <w:b w:val="0"/>
          <w:bCs w:val="0"/>
          <w:lang w:val="sr-Cyrl-RS"/>
        </w:rPr>
        <w:t>ндиректни ефекти, који су дугорочни</w:t>
      </w:r>
      <w:r w:rsidR="00134B07" w:rsidRPr="00134B07">
        <w:rPr>
          <w:rStyle w:val="Strong"/>
          <w:b w:val="0"/>
          <w:bCs w:val="0"/>
          <w:lang w:val="sr-Cyrl-RS"/>
        </w:rPr>
        <w:t>, будући да с</w:t>
      </w:r>
      <w:r w:rsidRPr="00134B07">
        <w:rPr>
          <w:rStyle w:val="Strong"/>
          <w:b w:val="0"/>
          <w:bCs w:val="0"/>
          <w:lang w:val="sr-Cyrl-RS"/>
        </w:rPr>
        <w:t>мањење неоправданих одсустава с посла</w:t>
      </w:r>
      <w:r w:rsidRPr="00134B07">
        <w:rPr>
          <w:lang w:val="sr-Cyrl-RS"/>
        </w:rPr>
        <w:t xml:space="preserve"> може повећати ефективан број радних сати и продуктивност, што посредно утиче на раст БДП-а и обим пореске основице.</w:t>
      </w:r>
      <w:r w:rsidR="00134B07" w:rsidRPr="00134B07">
        <w:rPr>
          <w:lang w:val="sr-Cyrl-RS"/>
        </w:rPr>
        <w:t xml:space="preserve"> Такође, п</w:t>
      </w:r>
      <w:r w:rsidRPr="00134B07">
        <w:rPr>
          <w:rStyle w:val="Strong"/>
          <w:b w:val="0"/>
          <w:bCs w:val="0"/>
          <w:lang w:val="sr-Cyrl-RS"/>
        </w:rPr>
        <w:t xml:space="preserve">овећање </w:t>
      </w:r>
      <w:r w:rsidR="00134B07" w:rsidRPr="00134B07">
        <w:rPr>
          <w:rStyle w:val="Strong"/>
          <w:b w:val="0"/>
          <w:bCs w:val="0"/>
          <w:lang w:val="sr-Cyrl-RS"/>
        </w:rPr>
        <w:t>правилности, уредно</w:t>
      </w:r>
      <w:r w:rsidRPr="00134B07">
        <w:rPr>
          <w:rStyle w:val="Strong"/>
          <w:b w:val="0"/>
          <w:bCs w:val="0"/>
          <w:lang w:val="sr-Cyrl-RS"/>
        </w:rPr>
        <w:t>сти и транспарентности</w:t>
      </w:r>
      <w:r w:rsidRPr="00134B07">
        <w:rPr>
          <w:lang w:val="sr-Cyrl-RS"/>
        </w:rPr>
        <w:t xml:space="preserve"> </w:t>
      </w:r>
      <w:r w:rsidR="00134B07" w:rsidRPr="00134B07">
        <w:rPr>
          <w:lang w:val="sr-Cyrl-RS"/>
        </w:rPr>
        <w:t xml:space="preserve">у </w:t>
      </w:r>
      <w:r w:rsidRPr="00134B07">
        <w:rPr>
          <w:lang w:val="sr-Cyrl-RS"/>
        </w:rPr>
        <w:t>однос</w:t>
      </w:r>
      <w:r w:rsidR="00134B07" w:rsidRPr="00134B07">
        <w:rPr>
          <w:lang w:val="sr-Cyrl-RS"/>
        </w:rPr>
        <w:t>у</w:t>
      </w:r>
      <w:r w:rsidRPr="00134B07">
        <w:rPr>
          <w:lang w:val="sr-Cyrl-RS"/>
        </w:rPr>
        <w:t xml:space="preserve"> </w:t>
      </w:r>
      <w:r w:rsidR="00134B07" w:rsidRPr="00134B07">
        <w:rPr>
          <w:lang w:val="sr-Cyrl-RS"/>
        </w:rPr>
        <w:t>„</w:t>
      </w:r>
      <w:r w:rsidRPr="00134B07">
        <w:rPr>
          <w:lang w:val="sr-Cyrl-RS"/>
        </w:rPr>
        <w:t>запослени</w:t>
      </w:r>
      <w:r w:rsidR="00134B07" w:rsidRPr="00134B07">
        <w:rPr>
          <w:lang w:val="sr-Cyrl-RS"/>
        </w:rPr>
        <w:t>-</w:t>
      </w:r>
      <w:r w:rsidRPr="00134B07">
        <w:rPr>
          <w:lang w:val="sr-Cyrl-RS"/>
        </w:rPr>
        <w:t>послодавац</w:t>
      </w:r>
      <w:r w:rsidR="00134B07" w:rsidRPr="00134B07">
        <w:rPr>
          <w:lang w:val="sr-Cyrl-RS"/>
        </w:rPr>
        <w:t>-</w:t>
      </w:r>
      <w:r w:rsidRPr="00134B07">
        <w:rPr>
          <w:lang w:val="sr-Cyrl-RS"/>
        </w:rPr>
        <w:t>држава</w:t>
      </w:r>
      <w:r w:rsidR="00741A1A" w:rsidRPr="00741A1A">
        <w:rPr>
          <w:bCs/>
          <w:lang w:val="sr-Cyrl-CS"/>
        </w:rPr>
        <w:t>”</w:t>
      </w:r>
      <w:r w:rsidRPr="00134B07">
        <w:rPr>
          <w:lang w:val="sr-Cyrl-RS"/>
        </w:rPr>
        <w:t xml:space="preserve"> може </w:t>
      </w:r>
      <w:r w:rsidR="00134B07" w:rsidRPr="00134B07">
        <w:rPr>
          <w:lang w:val="sr-Cyrl-RS"/>
        </w:rPr>
        <w:t xml:space="preserve">да </w:t>
      </w:r>
      <w:r w:rsidRPr="00134B07">
        <w:rPr>
          <w:lang w:val="sr-Cyrl-RS"/>
        </w:rPr>
        <w:t>ути</w:t>
      </w:r>
      <w:r w:rsidR="00134B07" w:rsidRPr="00134B07">
        <w:rPr>
          <w:lang w:val="sr-Cyrl-RS"/>
        </w:rPr>
        <w:t>че</w:t>
      </w:r>
      <w:r w:rsidRPr="00134B07">
        <w:rPr>
          <w:lang w:val="sr-Cyrl-RS"/>
        </w:rPr>
        <w:t xml:space="preserve"> на повећање прихода од</w:t>
      </w:r>
      <w:r w:rsidR="00134B07" w:rsidRPr="00134B07">
        <w:rPr>
          <w:lang w:val="sr-Cyrl-RS"/>
        </w:rPr>
        <w:t xml:space="preserve"> </w:t>
      </w:r>
      <w:r w:rsidRPr="00134B07">
        <w:rPr>
          <w:lang w:val="sr-Cyrl-RS"/>
        </w:rPr>
        <w:t xml:space="preserve">доприноса за </w:t>
      </w:r>
      <w:r w:rsidR="00134B07" w:rsidRPr="00134B07">
        <w:rPr>
          <w:lang w:val="sr-Cyrl-RS"/>
        </w:rPr>
        <w:t xml:space="preserve">обавезно </w:t>
      </w:r>
      <w:r w:rsidRPr="00134B07">
        <w:rPr>
          <w:lang w:val="sr-Cyrl-RS"/>
        </w:rPr>
        <w:t>социјално осигурање</w:t>
      </w:r>
      <w:r w:rsidR="00134B07" w:rsidRPr="00134B07">
        <w:rPr>
          <w:lang w:val="sr-Cyrl-RS"/>
        </w:rPr>
        <w:t xml:space="preserve"> и </w:t>
      </w:r>
      <w:r w:rsidRPr="00134B07">
        <w:rPr>
          <w:lang w:val="sr-Cyrl-RS"/>
        </w:rPr>
        <w:t>пореза на зараде</w:t>
      </w:r>
      <w:r w:rsidR="00134B07" w:rsidRPr="00134B07">
        <w:rPr>
          <w:lang w:val="sr-Cyrl-RS"/>
        </w:rPr>
        <w:t xml:space="preserve">, као и </w:t>
      </w:r>
      <w:r w:rsidR="00134B07">
        <w:rPr>
          <w:lang w:val="sr-Cyrl-RS"/>
        </w:rPr>
        <w:t xml:space="preserve">ПДВ-а и </w:t>
      </w:r>
      <w:r w:rsidR="00134B07" w:rsidRPr="00134B07">
        <w:rPr>
          <w:lang w:val="sr-Cyrl-RS"/>
        </w:rPr>
        <w:t>п</w:t>
      </w:r>
      <w:r w:rsidRPr="00134B07">
        <w:rPr>
          <w:lang w:val="sr-Cyrl-RS"/>
        </w:rPr>
        <w:t xml:space="preserve">ореза на добит </w:t>
      </w:r>
      <w:r w:rsidR="00134B07" w:rsidRPr="00134B07">
        <w:rPr>
          <w:lang w:val="sr-Cyrl-RS"/>
        </w:rPr>
        <w:t xml:space="preserve">правних лица </w:t>
      </w:r>
      <w:r w:rsidRPr="00134B07">
        <w:rPr>
          <w:lang w:val="sr-Cyrl-RS"/>
        </w:rPr>
        <w:t xml:space="preserve">(услед ефикаснијег </w:t>
      </w:r>
      <w:r w:rsidR="00134B07" w:rsidRPr="00134B07">
        <w:rPr>
          <w:lang w:val="sr-Cyrl-RS"/>
        </w:rPr>
        <w:t>пословањ</w:t>
      </w:r>
      <w:r w:rsidRPr="00134B07">
        <w:rPr>
          <w:lang w:val="sr-Cyrl-RS"/>
        </w:rPr>
        <w:t xml:space="preserve">а </w:t>
      </w:r>
      <w:r w:rsidR="00134B07" w:rsidRPr="00134B07">
        <w:rPr>
          <w:lang w:val="sr-Cyrl-RS"/>
        </w:rPr>
        <w:t>привреде</w:t>
      </w:r>
      <w:r w:rsidRPr="00134B07">
        <w:rPr>
          <w:lang w:val="sr-Cyrl-RS"/>
        </w:rPr>
        <w:t>).</w:t>
      </w:r>
    </w:p>
    <w:p w14:paraId="5A8D25C6" w14:textId="30B3BBE7" w:rsidR="00CA64AF" w:rsidRDefault="00134B07" w:rsidP="008663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Када је реч о јавним расходима - п</w:t>
      </w:r>
      <w:r w:rsidR="00866380" w:rsidRPr="00866380">
        <w:rPr>
          <w:rFonts w:ascii="Times New Roman" w:eastAsia="Times New Roman" w:hAnsi="Times New Roman" w:cs="Times New Roman"/>
          <w:sz w:val="24"/>
          <w:szCs w:val="24"/>
          <w:lang w:val="sr-Cyrl-RS"/>
        </w:rPr>
        <w:t>рво, о</w:t>
      </w:r>
      <w:r w:rsidR="00CA64AF" w:rsidRPr="00866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чекује </w:t>
      </w:r>
      <w:r w:rsidR="00866380" w:rsidRPr="00866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</w:t>
      </w:r>
      <w:r w:rsidR="00CA64AF" w:rsidRPr="00866380">
        <w:rPr>
          <w:rFonts w:ascii="Times New Roman" w:eastAsia="Times New Roman" w:hAnsi="Times New Roman" w:cs="Times New Roman"/>
          <w:sz w:val="24"/>
          <w:szCs w:val="24"/>
          <w:lang w:val="sr-Cyrl-RS"/>
        </w:rPr>
        <w:t>смањење злоупотреба у систему привремене спречености за рад (</w:t>
      </w:r>
      <w:r w:rsidR="00866380" w:rsidRPr="00866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тзв. </w:t>
      </w:r>
      <w:r w:rsidR="00CA64AF" w:rsidRPr="00866380">
        <w:rPr>
          <w:rFonts w:ascii="Times New Roman" w:eastAsia="Times New Roman" w:hAnsi="Times New Roman" w:cs="Times New Roman"/>
          <w:sz w:val="24"/>
          <w:szCs w:val="24"/>
          <w:lang w:val="sr-Cyrl-RS"/>
        </w:rPr>
        <w:t>лажна боловања), што ће умањити расходе РФЗО по основу накнада.</w:t>
      </w:r>
      <w:r w:rsidR="00866380" w:rsidRPr="00866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Друго, у</w:t>
      </w:r>
      <w:r w:rsidR="00CA64AF" w:rsidRPr="00866380">
        <w:rPr>
          <w:rFonts w:ascii="Times New Roman" w:eastAsia="Times New Roman" w:hAnsi="Times New Roman" w:cs="Times New Roman"/>
          <w:sz w:val="24"/>
          <w:szCs w:val="24"/>
          <w:lang w:val="sr-Cyrl-RS"/>
        </w:rPr>
        <w:t>вођењем електронске размене докумената смањују се трошкови администрације (штампа, папир, архивирање), што смањује оперативне трошкове здравствених установа и послодаваца.</w:t>
      </w:r>
      <w:r w:rsidR="00866380" w:rsidRPr="008663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Треће, п</w:t>
      </w:r>
      <w:r w:rsidR="00CA64AF" w:rsidRPr="00866380">
        <w:rPr>
          <w:rFonts w:ascii="Times New Roman" w:eastAsia="Times New Roman" w:hAnsi="Times New Roman" w:cs="Times New Roman"/>
          <w:sz w:val="24"/>
          <w:szCs w:val="24"/>
          <w:lang w:val="sr-Cyrl-RS"/>
        </w:rPr>
        <w:t>обољшана контрола и аналитика омогућавају прецизније буџетско планирање и израду финансијских планова РФЗО.</w:t>
      </w:r>
    </w:p>
    <w:p w14:paraId="38B5C8B4" w14:textId="77777777" w:rsidR="00395B71" w:rsidRPr="00395B71" w:rsidRDefault="00395B71" w:rsidP="00395B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95B71">
        <w:rPr>
          <w:rFonts w:ascii="Times New Roman" w:eastAsia="Times New Roman" w:hAnsi="Times New Roman" w:cs="Times New Roman"/>
          <w:sz w:val="24"/>
          <w:szCs w:val="24"/>
          <w:lang w:val="sr-Cyrl-RS"/>
        </w:rPr>
        <w:t>Наиме, увођењем дигиталног праћења и верификације докумената очекује се боља контрола над основаношћу привремене спречености за рад. Према подацима РФЗО, у 2023. години је по основу боловања исплаћено више од 14 милијарди динара, при чему се процењује да од 5 до 10% спада у сумњиве или неосноване случајеве. Тиме, потенцијалне уштеде износе од 700 милиона до 1,4 милијарде динара годишње, ако се злоупотребе преполове или елиминишу.</w:t>
      </w:r>
    </w:p>
    <w:p w14:paraId="13A517F7" w14:textId="124DD14C" w:rsidR="00395B71" w:rsidRDefault="00395B71" w:rsidP="00395B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95B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Затим, здравствене установе троше у просеку 200 </w:t>
      </w:r>
      <w:r w:rsidR="006F28BC">
        <w:rPr>
          <w:rFonts w:ascii="Times New Roman" w:eastAsia="Times New Roman" w:hAnsi="Times New Roman" w:cs="Times New Roman"/>
          <w:sz w:val="24"/>
          <w:szCs w:val="24"/>
          <w:lang w:val="sr-Cyrl-RS"/>
        </w:rPr>
        <w:t>РСД</w:t>
      </w:r>
      <w:r w:rsidRPr="00395B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 случају на материјалне и логистичке активности (штампа, папир, архивирање). Са просечно између 110.000 и 150.000 појединачних случајева боловања годишње, то је од 22 до 30 милиона динара уштеде само у сектору примарне здравствене заштите.</w:t>
      </w:r>
    </w:p>
    <w:p w14:paraId="0122B569" w14:textId="4775CFB1" w:rsidR="00866380" w:rsidRPr="00395B71" w:rsidRDefault="00866380" w:rsidP="00395B71">
      <w:pPr>
        <w:pStyle w:val="NormalWeb"/>
        <w:jc w:val="both"/>
        <w:rPr>
          <w:lang w:val="sr-Cyrl-RS"/>
        </w:rPr>
      </w:pPr>
      <w:r w:rsidRPr="00395B71">
        <w:rPr>
          <w:lang w:val="sr-Cyrl-RS"/>
        </w:rPr>
        <w:t>У</w:t>
      </w:r>
      <w:r w:rsidR="00395B71" w:rsidRPr="00395B71">
        <w:rPr>
          <w:lang w:val="sr-Cyrl-RS"/>
        </w:rPr>
        <w:t>з то, у</w:t>
      </w:r>
      <w:r w:rsidRPr="00395B71">
        <w:rPr>
          <w:lang w:val="sr-Cyrl-RS"/>
        </w:rPr>
        <w:t>спостављањем обједињеног система, РФЗО добија могућност</w:t>
      </w:r>
      <w:r w:rsidR="00395B71" w:rsidRPr="00395B71">
        <w:rPr>
          <w:lang w:val="sr-Cyrl-RS"/>
        </w:rPr>
        <w:t xml:space="preserve"> п</w:t>
      </w:r>
      <w:r w:rsidRPr="00395B71">
        <w:rPr>
          <w:lang w:val="sr-Cyrl-RS"/>
        </w:rPr>
        <w:t>равовремене детекције трендова по болестима, регионима</w:t>
      </w:r>
      <w:r w:rsidR="00395B71" w:rsidRPr="00395B71">
        <w:rPr>
          <w:lang w:val="sr-Cyrl-RS"/>
        </w:rPr>
        <w:t xml:space="preserve"> и </w:t>
      </w:r>
      <w:r w:rsidRPr="00395B71">
        <w:rPr>
          <w:lang w:val="sr-Cyrl-RS"/>
        </w:rPr>
        <w:t>секторима</w:t>
      </w:r>
      <w:r w:rsidR="00395B71" w:rsidRPr="00395B71">
        <w:rPr>
          <w:lang w:val="sr-Cyrl-RS"/>
        </w:rPr>
        <w:t>, са у</w:t>
      </w:r>
      <w:r w:rsidRPr="00395B71">
        <w:rPr>
          <w:lang w:val="sr-Cyrl-RS"/>
        </w:rPr>
        <w:t>напређењ</w:t>
      </w:r>
      <w:r w:rsidR="00395B71" w:rsidRPr="00395B71">
        <w:rPr>
          <w:lang w:val="sr-Cyrl-RS"/>
        </w:rPr>
        <w:t>ем</w:t>
      </w:r>
      <w:r w:rsidRPr="00395B71">
        <w:rPr>
          <w:lang w:val="sr-Cyrl-RS"/>
        </w:rPr>
        <w:t xml:space="preserve"> финансијског планирања на основу стварних података, што умањује ризик од буџетских дефицита.</w:t>
      </w:r>
    </w:p>
    <w:p w14:paraId="770D4166" w14:textId="38231B05" w:rsidR="00A60357" w:rsidRDefault="00A60357" w:rsidP="00F0351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0357">
        <w:rPr>
          <w:rFonts w:ascii="Times New Roman" w:hAnsi="Times New Roman" w:cs="Times New Roman"/>
          <w:sz w:val="24"/>
          <w:szCs w:val="24"/>
          <w:lang w:val="sr-Cyrl-RS"/>
        </w:rPr>
        <w:t xml:space="preserve">Према томе, иако примена овог закона не производи тренутне приходе за буџет, она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има дугорочне ефекте и </w:t>
      </w:r>
      <w:r w:rsidRPr="00A60357">
        <w:rPr>
          <w:rFonts w:ascii="Times New Roman" w:hAnsi="Times New Roman" w:cs="Times New Roman"/>
          <w:sz w:val="24"/>
          <w:szCs w:val="24"/>
          <w:lang w:val="sr-Cyrl-RS"/>
        </w:rPr>
        <w:t xml:space="preserve">ствара предуслове за значајне укупне фискалне уштеде у распону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једне до две </w:t>
      </w:r>
      <w:r w:rsidRPr="00A60357">
        <w:rPr>
          <w:rFonts w:ascii="Times New Roman" w:hAnsi="Times New Roman" w:cs="Times New Roman"/>
          <w:sz w:val="24"/>
          <w:szCs w:val="24"/>
          <w:lang w:val="sr-Cyrl-RS"/>
        </w:rPr>
        <w:t>милијарде динара годишње на страни расхода, као и доприноси макроекономској стабилности кроз бољу продуктивност и буџетско планирање.</w:t>
      </w:r>
    </w:p>
    <w:p w14:paraId="35D060F0" w14:textId="289FF04E" w:rsidR="007709BF" w:rsidRPr="00A60357" w:rsidRDefault="007709BF" w:rsidP="007709B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наставку, даје се трогодишња п</w:t>
      </w:r>
      <w:r w:rsidRPr="007709BF">
        <w:rPr>
          <w:rFonts w:ascii="Times New Roman" w:hAnsi="Times New Roman" w:cs="Times New Roman"/>
          <w:sz w:val="24"/>
          <w:szCs w:val="24"/>
          <w:lang w:val="sr-Cyrl-RS"/>
        </w:rPr>
        <w:t xml:space="preserve">ројекција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јавних расхода и прихода и </w:t>
      </w:r>
      <w:r w:rsidRPr="007709BF">
        <w:rPr>
          <w:rFonts w:ascii="Times New Roman" w:hAnsi="Times New Roman" w:cs="Times New Roman"/>
          <w:sz w:val="24"/>
          <w:szCs w:val="24"/>
          <w:lang w:val="sr-Cyrl-RS"/>
        </w:rPr>
        <w:t xml:space="preserve">нето </w:t>
      </w:r>
      <w:r w:rsidR="00F27C0E">
        <w:rPr>
          <w:rFonts w:ascii="Times New Roman" w:hAnsi="Times New Roman" w:cs="Times New Roman"/>
          <w:sz w:val="24"/>
          <w:szCs w:val="24"/>
          <w:lang w:val="sr-Cyrl-RS"/>
        </w:rPr>
        <w:t>буџетск</w:t>
      </w:r>
      <w:r w:rsidRPr="007709BF">
        <w:rPr>
          <w:rFonts w:ascii="Times New Roman" w:hAnsi="Times New Roman" w:cs="Times New Roman"/>
          <w:sz w:val="24"/>
          <w:szCs w:val="24"/>
          <w:lang w:val="sr-Cyrl-RS"/>
        </w:rPr>
        <w:t xml:space="preserve">ог </w:t>
      </w:r>
      <w:r w:rsidR="00896C47">
        <w:rPr>
          <w:rFonts w:ascii="Times New Roman" w:hAnsi="Times New Roman" w:cs="Times New Roman"/>
          <w:sz w:val="24"/>
          <w:szCs w:val="24"/>
          <w:lang w:val="sr-Cyrl-RS"/>
        </w:rPr>
        <w:t xml:space="preserve">(фискалног) </w:t>
      </w:r>
      <w:r w:rsidRPr="007709BF">
        <w:rPr>
          <w:rFonts w:ascii="Times New Roman" w:hAnsi="Times New Roman" w:cs="Times New Roman"/>
          <w:sz w:val="24"/>
          <w:szCs w:val="24"/>
          <w:lang w:val="sr-Cyrl-RS"/>
        </w:rPr>
        <w:t>биланса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7C34277" w14:textId="1D1993D7" w:rsidR="009F7997" w:rsidRPr="000C3E5E" w:rsidRDefault="00A60357" w:rsidP="009F79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0C3E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Табела</w:t>
      </w:r>
      <w:r w:rsidR="000C3E5E" w:rsidRPr="000C3E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F4373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9</w:t>
      </w:r>
      <w:r w:rsidRPr="000C3E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 w:rsidR="00FC6CEA" w:rsidRPr="000C3E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Пројекција нето </w:t>
      </w:r>
      <w:r w:rsidR="00F27C0E" w:rsidRPr="000C3E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буџетског</w:t>
      </w:r>
      <w:r w:rsidR="00FC6CEA" w:rsidRPr="000C3E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896C47" w:rsidRPr="000C3E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(фискалног) </w:t>
      </w:r>
      <w:r w:rsidR="00FC6CEA" w:rsidRPr="000C3E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биланса</w:t>
      </w:r>
    </w:p>
    <w:p w14:paraId="68399E38" w14:textId="5512A7FC" w:rsidR="003D23E9" w:rsidRPr="00A60357" w:rsidRDefault="0091667E" w:rsidP="00A603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0C3E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(тро</w:t>
      </w:r>
      <w:r w:rsidR="00FC6CEA" w:rsidRPr="000C3E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годишњ</w:t>
      </w:r>
      <w:r w:rsidRPr="000C3E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Pr="00A6035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пројекција</w:t>
      </w:r>
      <w:r w:rsidR="009F79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милионима РСД</w:t>
      </w:r>
      <w:r w:rsidRPr="00A6035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)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339"/>
        <w:gridCol w:w="1236"/>
        <w:gridCol w:w="1795"/>
        <w:gridCol w:w="1927"/>
        <w:gridCol w:w="2196"/>
      </w:tblGrid>
      <w:tr w:rsidR="00896C47" w:rsidRPr="009F7997" w14:paraId="46CF98F9" w14:textId="77777777" w:rsidTr="007709BF">
        <w:tc>
          <w:tcPr>
            <w:tcW w:w="0" w:type="auto"/>
            <w:hideMark/>
          </w:tcPr>
          <w:p w14:paraId="34ED431C" w14:textId="77777777" w:rsidR="009F7997" w:rsidRPr="009F7997" w:rsidRDefault="009F7997" w:rsidP="009F79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Категорија</w:t>
            </w:r>
          </w:p>
        </w:tc>
        <w:tc>
          <w:tcPr>
            <w:tcW w:w="0" w:type="auto"/>
            <w:hideMark/>
          </w:tcPr>
          <w:p w14:paraId="0D344C3C" w14:textId="77777777" w:rsidR="009F7997" w:rsidRPr="009F7997" w:rsidRDefault="009F7997" w:rsidP="009F79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Година 1 </w:t>
            </w:r>
            <w:r w:rsidRPr="009F79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RS"/>
              </w:rPr>
              <w:t>(фаза увођења)</w:t>
            </w:r>
          </w:p>
        </w:tc>
        <w:tc>
          <w:tcPr>
            <w:tcW w:w="1795" w:type="dxa"/>
            <w:hideMark/>
          </w:tcPr>
          <w:p w14:paraId="2A5D6314" w14:textId="11ED54A4" w:rsidR="009F7997" w:rsidRPr="009F7997" w:rsidRDefault="009F7997" w:rsidP="009F79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Година 2 </w:t>
            </w:r>
            <w:r w:rsidRPr="009F79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RS"/>
              </w:rPr>
              <w:t>(</w:t>
            </w:r>
            <w:r w:rsidR="00D144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RS"/>
              </w:rPr>
              <w:t xml:space="preserve">увођење завршено - </w:t>
            </w:r>
            <w:r w:rsidRPr="009F79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RS"/>
              </w:rPr>
              <w:t>пуна примена)</w:t>
            </w:r>
          </w:p>
        </w:tc>
        <w:tc>
          <w:tcPr>
            <w:tcW w:w="1927" w:type="dxa"/>
            <w:hideMark/>
          </w:tcPr>
          <w:p w14:paraId="5BAEC277" w14:textId="77777777" w:rsidR="009F7997" w:rsidRPr="009F7997" w:rsidRDefault="009F7997" w:rsidP="009F79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Година 3 </w:t>
            </w:r>
            <w:r w:rsidRPr="009F79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RS"/>
              </w:rPr>
              <w:t>(консолидација)</w:t>
            </w:r>
          </w:p>
        </w:tc>
        <w:tc>
          <w:tcPr>
            <w:tcW w:w="2196" w:type="dxa"/>
            <w:hideMark/>
          </w:tcPr>
          <w:p w14:paraId="5A674504" w14:textId="77777777" w:rsidR="009F7997" w:rsidRPr="009F7997" w:rsidRDefault="009F7997" w:rsidP="009F79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 / Методологија</w:t>
            </w:r>
          </w:p>
        </w:tc>
      </w:tr>
      <w:tr w:rsidR="00896C47" w:rsidRPr="009F7997" w14:paraId="62ECEE12" w14:textId="77777777" w:rsidTr="007709BF">
        <w:tc>
          <w:tcPr>
            <w:tcW w:w="0" w:type="auto"/>
            <w:hideMark/>
          </w:tcPr>
          <w:p w14:paraId="252C5F3A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A. Јавни расходи</w:t>
            </w:r>
          </w:p>
        </w:tc>
        <w:tc>
          <w:tcPr>
            <w:tcW w:w="0" w:type="auto"/>
            <w:hideMark/>
          </w:tcPr>
          <w:p w14:paraId="324DF496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95" w:type="dxa"/>
            <w:hideMark/>
          </w:tcPr>
          <w:p w14:paraId="73ACE107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27" w:type="dxa"/>
            <w:hideMark/>
          </w:tcPr>
          <w:p w14:paraId="4A41AEC5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96" w:type="dxa"/>
            <w:hideMark/>
          </w:tcPr>
          <w:p w14:paraId="54DAA4B1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896C47" w:rsidRPr="009F7997" w14:paraId="7077533F" w14:textId="77777777" w:rsidTr="007709BF">
        <w:tc>
          <w:tcPr>
            <w:tcW w:w="0" w:type="auto"/>
            <w:hideMark/>
          </w:tcPr>
          <w:p w14:paraId="3676053A" w14:textId="0AC4DC14" w:rsidR="009F7997" w:rsidRPr="009F7997" w:rsidRDefault="008B5AA2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 С</w:t>
            </w:r>
            <w:r w:rsidR="009F7997"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офтвер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т</w:t>
            </w: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ехничка интеграција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 едукација корисника</w:t>
            </w:r>
          </w:p>
        </w:tc>
        <w:tc>
          <w:tcPr>
            <w:tcW w:w="0" w:type="auto"/>
            <w:hideMark/>
          </w:tcPr>
          <w:p w14:paraId="68B34FFE" w14:textId="2F014EAF" w:rsidR="009F7997" w:rsidRPr="009F7997" w:rsidRDefault="00D144AD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795" w:type="dxa"/>
            <w:hideMark/>
          </w:tcPr>
          <w:p w14:paraId="4210BFE1" w14:textId="0DD10B48" w:rsidR="009F7997" w:rsidRPr="009F7997" w:rsidRDefault="00D144AD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130</w:t>
            </w:r>
          </w:p>
        </w:tc>
        <w:tc>
          <w:tcPr>
            <w:tcW w:w="1927" w:type="dxa"/>
            <w:hideMark/>
          </w:tcPr>
          <w:p w14:paraId="179DF734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196" w:type="dxa"/>
            <w:hideMark/>
          </w:tcPr>
          <w:p w14:paraId="22213EEA" w14:textId="64374BE8" w:rsidR="009F7997" w:rsidRPr="009F7997" w:rsidRDefault="007709BF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9F7997"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еднократна инвестиција</w:t>
            </w:r>
            <w:r w:rsidR="0045518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(развој софтвера) </w:t>
            </w:r>
            <w:r w:rsidR="009F7997"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+ редовно одржавање</w:t>
            </w:r>
            <w:r w:rsidR="008B5AA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техничка интеграција здравствених установа</w:t>
            </w:r>
            <w:r w:rsidR="00D144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обука и подршка</w:t>
            </w:r>
          </w:p>
        </w:tc>
      </w:tr>
      <w:tr w:rsidR="00896C47" w:rsidRPr="009F7997" w14:paraId="28B28061" w14:textId="77777777" w:rsidTr="007709BF">
        <w:tc>
          <w:tcPr>
            <w:tcW w:w="0" w:type="auto"/>
            <w:hideMark/>
          </w:tcPr>
          <w:p w14:paraId="31A19046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 јавни расходи (А)</w:t>
            </w:r>
          </w:p>
        </w:tc>
        <w:tc>
          <w:tcPr>
            <w:tcW w:w="0" w:type="auto"/>
            <w:hideMark/>
          </w:tcPr>
          <w:p w14:paraId="1E28A480" w14:textId="7F26B545" w:rsidR="009F7997" w:rsidRPr="009F7997" w:rsidRDefault="00D144AD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795" w:type="dxa"/>
            <w:hideMark/>
          </w:tcPr>
          <w:p w14:paraId="183B7887" w14:textId="53E7B40F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13</w:t>
            </w:r>
            <w:r w:rsidR="00D144A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927" w:type="dxa"/>
            <w:hideMark/>
          </w:tcPr>
          <w:p w14:paraId="3C8B8518" w14:textId="548A2CDB" w:rsidR="009F7997" w:rsidRPr="009F7997" w:rsidRDefault="00D144AD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196" w:type="dxa"/>
            <w:hideMark/>
          </w:tcPr>
          <w:p w14:paraId="4F7DD072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96C47" w:rsidRPr="009F7997" w14:paraId="4BA287E9" w14:textId="77777777" w:rsidTr="007709BF">
        <w:tc>
          <w:tcPr>
            <w:tcW w:w="0" w:type="auto"/>
            <w:hideMark/>
          </w:tcPr>
          <w:p w14:paraId="62F3D058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hideMark/>
          </w:tcPr>
          <w:p w14:paraId="3E8CA845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95" w:type="dxa"/>
            <w:hideMark/>
          </w:tcPr>
          <w:p w14:paraId="352032EA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27" w:type="dxa"/>
            <w:hideMark/>
          </w:tcPr>
          <w:p w14:paraId="2F4DF84D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96" w:type="dxa"/>
            <w:hideMark/>
          </w:tcPr>
          <w:p w14:paraId="5D3B6BC7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896C47" w:rsidRPr="009F7997" w14:paraId="53EBF7EC" w14:textId="77777777" w:rsidTr="007709BF">
        <w:tc>
          <w:tcPr>
            <w:tcW w:w="0" w:type="auto"/>
            <w:hideMark/>
          </w:tcPr>
          <w:p w14:paraId="3544CE96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B. Процењене уштеде</w:t>
            </w:r>
          </w:p>
        </w:tc>
        <w:tc>
          <w:tcPr>
            <w:tcW w:w="0" w:type="auto"/>
            <w:hideMark/>
          </w:tcPr>
          <w:p w14:paraId="2BB61B46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95" w:type="dxa"/>
            <w:hideMark/>
          </w:tcPr>
          <w:p w14:paraId="04410A8D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27" w:type="dxa"/>
            <w:hideMark/>
          </w:tcPr>
          <w:p w14:paraId="4E3E6697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96" w:type="dxa"/>
            <w:hideMark/>
          </w:tcPr>
          <w:p w14:paraId="4AF27E81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896C47" w:rsidRPr="009F7997" w14:paraId="52B63435" w14:textId="77777777" w:rsidTr="007709BF">
        <w:tc>
          <w:tcPr>
            <w:tcW w:w="0" w:type="auto"/>
            <w:hideMark/>
          </w:tcPr>
          <w:p w14:paraId="1E930981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 Смањење злоупотреба боловања</w:t>
            </w:r>
          </w:p>
        </w:tc>
        <w:tc>
          <w:tcPr>
            <w:tcW w:w="0" w:type="auto"/>
            <w:hideMark/>
          </w:tcPr>
          <w:p w14:paraId="09E05B81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795" w:type="dxa"/>
            <w:hideMark/>
          </w:tcPr>
          <w:p w14:paraId="7F231BD5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700</w:t>
            </w:r>
          </w:p>
        </w:tc>
        <w:tc>
          <w:tcPr>
            <w:tcW w:w="1927" w:type="dxa"/>
            <w:hideMark/>
          </w:tcPr>
          <w:p w14:paraId="00EFAE86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1.000</w:t>
            </w:r>
          </w:p>
        </w:tc>
        <w:tc>
          <w:tcPr>
            <w:tcW w:w="2196" w:type="dxa"/>
            <w:hideMark/>
          </w:tcPr>
          <w:p w14:paraId="0606ECC7" w14:textId="48726839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РФЗО губи 5</w:t>
            </w:r>
            <w:r w:rsidR="007709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10% (700</w:t>
            </w:r>
            <w:r w:rsidR="007709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мил.-</w:t>
            </w: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1,4</w:t>
            </w:r>
            <w:r w:rsidR="007709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млрд</w:t>
            </w: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F28B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); пун ефекат од Г2</w:t>
            </w:r>
          </w:p>
        </w:tc>
      </w:tr>
      <w:tr w:rsidR="00896C47" w:rsidRPr="009F7997" w14:paraId="7D99A5C9" w14:textId="77777777" w:rsidTr="007709BF">
        <w:tc>
          <w:tcPr>
            <w:tcW w:w="0" w:type="auto"/>
            <w:hideMark/>
          </w:tcPr>
          <w:p w14:paraId="32FDB725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2. Смањење административних трошкова</w:t>
            </w:r>
          </w:p>
        </w:tc>
        <w:tc>
          <w:tcPr>
            <w:tcW w:w="0" w:type="auto"/>
            <w:hideMark/>
          </w:tcPr>
          <w:p w14:paraId="4A67D185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795" w:type="dxa"/>
            <w:hideMark/>
          </w:tcPr>
          <w:p w14:paraId="0BDDB54F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</w:t>
            </w:r>
          </w:p>
        </w:tc>
        <w:tc>
          <w:tcPr>
            <w:tcW w:w="1927" w:type="dxa"/>
            <w:hideMark/>
          </w:tcPr>
          <w:p w14:paraId="538150F2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  <w:tc>
          <w:tcPr>
            <w:tcW w:w="2196" w:type="dxa"/>
            <w:hideMark/>
          </w:tcPr>
          <w:p w14:paraId="230B2510" w14:textId="37D061DC" w:rsidR="009F7997" w:rsidRPr="009F7997" w:rsidRDefault="007709BF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мање штампања, папира, архивирања (150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.000</w:t>
            </w: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случајева)</w:t>
            </w:r>
          </w:p>
        </w:tc>
      </w:tr>
      <w:tr w:rsidR="00896C47" w:rsidRPr="009F7997" w14:paraId="7A02D965" w14:textId="77777777" w:rsidTr="007709BF">
        <w:tc>
          <w:tcPr>
            <w:tcW w:w="0" w:type="auto"/>
            <w:hideMark/>
          </w:tcPr>
          <w:p w14:paraId="0A79FB18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 Боље буџетско планирање и аналитика</w:t>
            </w:r>
          </w:p>
        </w:tc>
        <w:tc>
          <w:tcPr>
            <w:tcW w:w="0" w:type="auto"/>
            <w:hideMark/>
          </w:tcPr>
          <w:p w14:paraId="04A290ED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795" w:type="dxa"/>
            <w:hideMark/>
          </w:tcPr>
          <w:p w14:paraId="6B9E9954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927" w:type="dxa"/>
            <w:hideMark/>
          </w:tcPr>
          <w:p w14:paraId="3E6D256D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2196" w:type="dxa"/>
            <w:hideMark/>
          </w:tcPr>
          <w:p w14:paraId="7C418E73" w14:textId="4FA6D0AD" w:rsidR="009F7997" w:rsidRPr="009F7997" w:rsidRDefault="007709BF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конзервативна процена позитивног ефекта</w:t>
            </w:r>
          </w:p>
        </w:tc>
      </w:tr>
      <w:tr w:rsidR="00896C47" w:rsidRPr="009F7997" w14:paraId="091CFA04" w14:textId="77777777" w:rsidTr="007709BF">
        <w:trPr>
          <w:trHeight w:val="485"/>
        </w:trPr>
        <w:tc>
          <w:tcPr>
            <w:tcW w:w="0" w:type="auto"/>
            <w:hideMark/>
          </w:tcPr>
          <w:p w14:paraId="5A5AEF33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 уштеде (B)</w:t>
            </w:r>
          </w:p>
        </w:tc>
        <w:tc>
          <w:tcPr>
            <w:tcW w:w="0" w:type="auto"/>
            <w:hideMark/>
          </w:tcPr>
          <w:p w14:paraId="6D976CF0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795" w:type="dxa"/>
            <w:hideMark/>
          </w:tcPr>
          <w:p w14:paraId="653B253A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775</w:t>
            </w:r>
          </w:p>
        </w:tc>
        <w:tc>
          <w:tcPr>
            <w:tcW w:w="1927" w:type="dxa"/>
            <w:hideMark/>
          </w:tcPr>
          <w:p w14:paraId="29100D98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1.130</w:t>
            </w:r>
          </w:p>
        </w:tc>
        <w:tc>
          <w:tcPr>
            <w:tcW w:w="2196" w:type="dxa"/>
            <w:hideMark/>
          </w:tcPr>
          <w:p w14:paraId="67E64CCB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96C47" w:rsidRPr="009F7997" w14:paraId="5AD67607" w14:textId="77777777" w:rsidTr="007709BF">
        <w:tc>
          <w:tcPr>
            <w:tcW w:w="0" w:type="auto"/>
            <w:hideMark/>
          </w:tcPr>
          <w:p w14:paraId="37B01F01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hideMark/>
          </w:tcPr>
          <w:p w14:paraId="7AA24200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95" w:type="dxa"/>
            <w:hideMark/>
          </w:tcPr>
          <w:p w14:paraId="3DCAF5A2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927" w:type="dxa"/>
            <w:hideMark/>
          </w:tcPr>
          <w:p w14:paraId="2E3E169A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196" w:type="dxa"/>
            <w:hideMark/>
          </w:tcPr>
          <w:p w14:paraId="1EF5E81D" w14:textId="77777777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896C47" w:rsidRPr="009F7997" w14:paraId="02ABC2DE" w14:textId="77777777" w:rsidTr="007709BF">
        <w:tc>
          <w:tcPr>
            <w:tcW w:w="0" w:type="auto"/>
            <w:hideMark/>
          </w:tcPr>
          <w:p w14:paraId="707ACE0C" w14:textId="79DCA7D3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C. Нето </w:t>
            </w:r>
            <w:r w:rsidR="00F27C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буџетск</w:t>
            </w:r>
            <w:r w:rsidRPr="009F7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89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(фискални) </w:t>
            </w:r>
            <w:r w:rsidRPr="009F7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биланс (B - A)</w:t>
            </w:r>
          </w:p>
        </w:tc>
        <w:tc>
          <w:tcPr>
            <w:tcW w:w="0" w:type="auto"/>
            <w:hideMark/>
          </w:tcPr>
          <w:p w14:paraId="323F8497" w14:textId="5E267F1B" w:rsidR="009F7997" w:rsidRPr="009F7997" w:rsidRDefault="00D144AD" w:rsidP="009F79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-1</w:t>
            </w:r>
            <w:r w:rsidR="002E14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40</w:t>
            </w:r>
          </w:p>
        </w:tc>
        <w:tc>
          <w:tcPr>
            <w:tcW w:w="1795" w:type="dxa"/>
            <w:hideMark/>
          </w:tcPr>
          <w:p w14:paraId="49CE73CA" w14:textId="390962B6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+</w:t>
            </w:r>
            <w:r w:rsidR="00D14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64</w:t>
            </w:r>
            <w:r w:rsidR="00AE7A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927" w:type="dxa"/>
            <w:hideMark/>
          </w:tcPr>
          <w:p w14:paraId="103CEB8C" w14:textId="04E55111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+1.12</w:t>
            </w:r>
            <w:r w:rsidR="00455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196" w:type="dxa"/>
            <w:hideMark/>
          </w:tcPr>
          <w:p w14:paraId="0C250133" w14:textId="31CFDD4B" w:rsidR="009F7997" w:rsidRPr="009F7997" w:rsidRDefault="009F7997" w:rsidP="009F79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Г1 инвестициони дефицит, </w:t>
            </w:r>
            <w:r w:rsidR="007709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9F79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затим значајан суфицит</w:t>
            </w:r>
          </w:p>
        </w:tc>
      </w:tr>
    </w:tbl>
    <w:p w14:paraId="3259514E" w14:textId="339342DA" w:rsidR="009F7997" w:rsidRPr="009F7997" w:rsidRDefault="00FC6CEA" w:rsidP="00B909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Година 1 је инвестициона фаза</w:t>
      </w:r>
      <w:r w:rsidR="007709BF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када је</w:t>
      </w:r>
      <w:r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потребно обезбедити </w:t>
      </w:r>
      <w:r w:rsidR="00CF750A">
        <w:rPr>
          <w:rFonts w:ascii="Times New Roman" w:eastAsia="Times New Roman" w:hAnsi="Times New Roman" w:cs="Times New Roman"/>
          <w:sz w:val="24"/>
          <w:szCs w:val="24"/>
          <w:lang w:val="sr-Cyrl-RS"/>
        </w:rPr>
        <w:t>развој софтвера</w:t>
      </w:r>
      <w:r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CF750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главну </w:t>
      </w:r>
      <w:r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интеграцију </w:t>
      </w:r>
      <w:r w:rsidR="00CF750A">
        <w:rPr>
          <w:rFonts w:ascii="Times New Roman" w:eastAsia="Times New Roman" w:hAnsi="Times New Roman" w:cs="Times New Roman"/>
          <w:sz w:val="24"/>
          <w:szCs w:val="24"/>
          <w:lang w:val="sr-Cyrl-RS"/>
        </w:rPr>
        <w:t>учесника</w:t>
      </w:r>
      <w:r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обуку</w:t>
      </w:r>
      <w:r w:rsidR="00CF750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корисника</w:t>
      </w:r>
      <w:r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7709BF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Постоје високи почетни расходи </w:t>
      </w:r>
      <w:r w:rsidR="002E140A">
        <w:rPr>
          <w:rFonts w:ascii="Times New Roman" w:eastAsia="Times New Roman" w:hAnsi="Times New Roman" w:cs="Times New Roman"/>
          <w:sz w:val="24"/>
          <w:szCs w:val="24"/>
          <w:lang w:val="sr-Cyrl-RS"/>
        </w:rPr>
        <w:t>од 150</w:t>
      </w:r>
      <w:r w:rsidR="007709BF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мил. РСД и минималне уштеде, јер је систем у тестној </w:t>
      </w:r>
      <w:r w:rsidR="002E140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почетној </w:t>
      </w:r>
      <w:r w:rsidR="007709BF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фази, а пројектован дефицит </w:t>
      </w:r>
      <w:r w:rsidR="002E140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</w:t>
      </w:r>
      <w:r w:rsidR="007709BF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око </w:t>
      </w:r>
      <w:r w:rsidR="00986F48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="002E140A"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 w:rsidR="007709BF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="002E140A">
        <w:rPr>
          <w:rFonts w:ascii="Times New Roman" w:eastAsia="Times New Roman" w:hAnsi="Times New Roman" w:cs="Times New Roman"/>
          <w:sz w:val="24"/>
          <w:szCs w:val="24"/>
          <w:lang w:val="sr-Cyrl-RS"/>
        </w:rPr>
        <w:t>0</w:t>
      </w:r>
      <w:r w:rsidR="007709BF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мил. РСД. </w:t>
      </w:r>
      <w:r w:rsidR="00986F48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Друга година </w:t>
      </w:r>
      <w:r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доноси </w:t>
      </w:r>
      <w:r w:rsidR="00986F48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високо</w:t>
      </w:r>
      <w:r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повећање уштеда, јер </w:t>
      </w:r>
      <w:r w:rsidR="002E140A">
        <w:rPr>
          <w:rFonts w:ascii="Times New Roman" w:eastAsia="Times New Roman" w:hAnsi="Times New Roman" w:cs="Times New Roman"/>
          <w:sz w:val="24"/>
          <w:szCs w:val="24"/>
          <w:lang w:val="sr-Cyrl-RS"/>
        </w:rPr>
        <w:t>је увођење завршено и</w:t>
      </w:r>
      <w:r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систем </w:t>
      </w:r>
      <w:r w:rsidR="002E140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</w:t>
      </w:r>
      <w:r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примењује у пуном капацитету.</w:t>
      </w:r>
      <w:r w:rsidR="00986F48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Очекиван</w:t>
      </w:r>
      <w:r w:rsidR="002E140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B90990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986F48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купни нето позитивни ефекат</w:t>
      </w:r>
      <w:r w:rsidR="002E140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</w:t>
      </w:r>
      <w:r w:rsidR="00986F48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90990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+</w:t>
      </w:r>
      <w:r w:rsidR="00986F48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6</w:t>
      </w:r>
      <w:r w:rsidR="002E140A">
        <w:rPr>
          <w:rFonts w:ascii="Times New Roman" w:eastAsia="Times New Roman" w:hAnsi="Times New Roman" w:cs="Times New Roman"/>
          <w:sz w:val="24"/>
          <w:szCs w:val="24"/>
          <w:lang w:val="sr-Cyrl-RS"/>
        </w:rPr>
        <w:t>40</w:t>
      </w:r>
      <w:r w:rsidR="00B90990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мил. РСД</w:t>
      </w:r>
      <w:r w:rsidR="00986F48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B90990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Година 3 је фаза стабилизације и консолидације, са минималним оперативним трошковима и максимизованим утицајем на расходе РФЗО и административне уштеде.</w:t>
      </w:r>
      <w:r w:rsidR="00986F48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F7997" w:rsidRPr="009F7997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Процењени нето суфицит пре</w:t>
      </w:r>
      <w:r w:rsidR="00B90990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лази</w:t>
      </w:r>
      <w:r w:rsidR="009F7997" w:rsidRPr="009F79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1,1 м</w:t>
      </w:r>
      <w:r w:rsidR="00B90990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лрд. РСД </w:t>
      </w:r>
      <w:r w:rsidR="009F7997" w:rsidRPr="009F7997">
        <w:rPr>
          <w:rFonts w:ascii="Times New Roman" w:eastAsia="Times New Roman" w:hAnsi="Times New Roman" w:cs="Times New Roman"/>
          <w:sz w:val="24"/>
          <w:szCs w:val="24"/>
          <w:lang w:val="sr-Cyrl-RS"/>
        </w:rPr>
        <w:t>годишње.</w:t>
      </w:r>
      <w:r w:rsidR="00B90990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F7997" w:rsidRPr="009F79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Кумулативно </w:t>
      </w:r>
      <w:r w:rsidR="00B90990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посматрано за прве три</w:t>
      </w:r>
      <w:r w:rsidR="009F7997" w:rsidRPr="009F79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године</w:t>
      </w:r>
      <w:r w:rsidR="00B90990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, п</w:t>
      </w:r>
      <w:r w:rsidR="009F7997" w:rsidRPr="009F7997">
        <w:rPr>
          <w:rFonts w:ascii="Times New Roman" w:eastAsia="Times New Roman" w:hAnsi="Times New Roman" w:cs="Times New Roman"/>
          <w:sz w:val="24"/>
          <w:szCs w:val="24"/>
          <w:lang w:val="sr-Cyrl-RS"/>
        </w:rPr>
        <w:t>очетна улагања</w:t>
      </w:r>
      <w:r w:rsidR="00B90990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износе</w:t>
      </w:r>
      <w:r w:rsidR="009F7997" w:rsidRPr="009F79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E140A">
        <w:rPr>
          <w:rFonts w:ascii="Times New Roman" w:eastAsia="Times New Roman" w:hAnsi="Times New Roman" w:cs="Times New Roman"/>
          <w:sz w:val="24"/>
          <w:szCs w:val="24"/>
          <w:lang w:val="sr-Cyrl-RS"/>
        </w:rPr>
        <w:t>28</w:t>
      </w:r>
      <w:r w:rsidR="00455180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="002E140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90990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мил. РСД, а у</w:t>
      </w:r>
      <w:r w:rsidR="009F7997" w:rsidRPr="009F7997">
        <w:rPr>
          <w:rFonts w:ascii="Times New Roman" w:eastAsia="Times New Roman" w:hAnsi="Times New Roman" w:cs="Times New Roman"/>
          <w:sz w:val="24"/>
          <w:szCs w:val="24"/>
          <w:lang w:val="sr-Cyrl-RS"/>
        </w:rPr>
        <w:t>купне пројектоване уштеде 1,915 млрд</w:t>
      </w:r>
      <w:r w:rsidR="00B90990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. РСД, чиме је н</w:t>
      </w:r>
      <w:r w:rsidR="009F7997" w:rsidRPr="009F7997">
        <w:rPr>
          <w:rFonts w:ascii="Times New Roman" w:eastAsia="Times New Roman" w:hAnsi="Times New Roman" w:cs="Times New Roman"/>
          <w:sz w:val="24"/>
          <w:szCs w:val="24"/>
          <w:lang w:val="sr-Cyrl-RS"/>
        </w:rPr>
        <w:t>ето позитиван ефекат</w:t>
      </w:r>
      <w:r w:rsidR="00B90990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E140A">
        <w:rPr>
          <w:rFonts w:ascii="Times New Roman" w:eastAsia="Times New Roman" w:hAnsi="Times New Roman" w:cs="Times New Roman"/>
          <w:sz w:val="24"/>
          <w:szCs w:val="24"/>
          <w:lang w:val="sr-Cyrl-RS"/>
        </w:rPr>
        <w:t>+</w:t>
      </w:r>
      <w:r w:rsidR="009F7997" w:rsidRPr="009F7997">
        <w:rPr>
          <w:rFonts w:ascii="Times New Roman" w:eastAsia="Times New Roman" w:hAnsi="Times New Roman" w:cs="Times New Roman"/>
          <w:sz w:val="24"/>
          <w:szCs w:val="24"/>
          <w:lang w:val="sr-Cyrl-RS"/>
        </w:rPr>
        <w:t>1,</w:t>
      </w:r>
      <w:r w:rsidR="00AE7A3A">
        <w:rPr>
          <w:rFonts w:ascii="Times New Roman" w:eastAsia="Times New Roman" w:hAnsi="Times New Roman" w:cs="Times New Roman"/>
          <w:sz w:val="24"/>
          <w:szCs w:val="24"/>
          <w:lang w:val="sr-Cyrl-RS"/>
        </w:rPr>
        <w:t>630</w:t>
      </w:r>
      <w:r w:rsidR="009F7997" w:rsidRPr="009F79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</w:t>
      </w:r>
      <w:r w:rsidR="00B90990" w:rsidRPr="00B90990">
        <w:rPr>
          <w:rFonts w:ascii="Times New Roman" w:eastAsia="Times New Roman" w:hAnsi="Times New Roman" w:cs="Times New Roman"/>
          <w:sz w:val="24"/>
          <w:szCs w:val="24"/>
          <w:lang w:val="sr-Cyrl-RS"/>
        </w:rPr>
        <w:t>лрд. РСД.</w:t>
      </w:r>
    </w:p>
    <w:p w14:paraId="4389BCCB" w14:textId="06343CF0" w:rsidR="00FC6CEA" w:rsidRPr="00A96D8E" w:rsidRDefault="003A2F8D" w:rsidP="00A96D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9492B80" wp14:editId="065FD8B1">
            <wp:extent cx="4778375" cy="2867025"/>
            <wp:effectExtent l="0" t="0" r="317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3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3B10D" w14:textId="08775742" w:rsidR="00F060FC" w:rsidRDefault="00F060FC" w:rsidP="00F035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A96D8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9. Анализа ризика</w:t>
      </w:r>
    </w:p>
    <w:p w14:paraId="1B138BBD" w14:textId="77777777" w:rsidR="00D77245" w:rsidRPr="00D77245" w:rsidRDefault="00D77245" w:rsidP="00D77245">
      <w:pPr>
        <w:pStyle w:val="basic-paragraph"/>
        <w:spacing w:before="0" w:beforeAutospacing="0" w:after="0" w:afterAutospacing="0"/>
        <w:jc w:val="both"/>
        <w:rPr>
          <w:b/>
          <w:bCs/>
          <w:color w:val="000000"/>
          <w:lang w:val="sr-Cyrl-RS"/>
        </w:rPr>
      </w:pPr>
      <w:r w:rsidRPr="00D77245">
        <w:rPr>
          <w:rStyle w:val="bold1"/>
          <w:b/>
          <w:bCs/>
          <w:color w:val="000000"/>
          <w:lang w:val="sr-Cyrl-RS"/>
        </w:rPr>
        <w:t>1) Навести кључне ризике за примену прописа. Које мере ће бити предузете како би се смањила вероватноћа настанка ризичних догађаја, односно умањили њихови ефекти и које мере ће бити предузете уколико се ризик оствари?</w:t>
      </w:r>
    </w:p>
    <w:p w14:paraId="2AD5D731" w14:textId="698F9A9E" w:rsidR="00D7139F" w:rsidRPr="00D7139F" w:rsidRDefault="00D7139F" w:rsidP="000200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Ризици у примени овог закона су следећи:</w:t>
      </w:r>
    </w:p>
    <w:p w14:paraId="2F1A6C37" w14:textId="708286EE" w:rsidR="0060775C" w:rsidRDefault="00020036" w:rsidP="00CD4D46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Недовољна техничка припремљеност корисника (послодавци, лекари, РФЗО)</w:t>
      </w:r>
      <w:r w:rsidR="00D7139F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- ј</w:t>
      </w:r>
      <w:r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едан од најзначајнијих ризика у примени новог система јесте ограничена техничка опремљеност или недовољно познавање ИКТ алата од стране </w:t>
      </w:r>
      <w:r w:rsidR="00D7139F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учесника процес</w:t>
      </w:r>
      <w:r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а. У пракси, здравствене установе и послодавци</w:t>
      </w:r>
      <w:r w:rsidR="00D7139F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-</w:t>
      </w:r>
      <w:r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посебно м</w:t>
      </w:r>
      <w:r w:rsidR="00D7139F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икро и мали</w:t>
      </w:r>
      <w:r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, могу бити неравномерно припремљени за примену новог система, што може довести до кашњења у обради или непотпуне примене закона</w:t>
      </w:r>
      <w:r w:rsidR="008E797B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100DD7B8" w14:textId="3E38BAB6" w:rsidR="0060775C" w:rsidRDefault="0060775C" w:rsidP="0060775C">
      <w:pPr>
        <w:pStyle w:val="ListParagraph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Мере </w:t>
      </w:r>
      <w:r w:rsidR="00D7139F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за управљање овим ризиком састоје се у о</w:t>
      </w:r>
      <w:r w:rsidR="00020036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рганизациј</w:t>
      </w:r>
      <w:r w:rsidR="00D7139F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020036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едукативних сесија и вебинара, са нагласком на практичну примену</w:t>
      </w:r>
      <w:r w:rsidR="00D7139F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, у</w:t>
      </w:r>
      <w:r w:rsidR="00020036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спостављањ</w:t>
      </w:r>
      <w:r w:rsidR="00D7139F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020036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техничке подршке на националном нивоу (</w:t>
      </w:r>
      <w:r w:rsidR="00D7139F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helpdesk</w:t>
      </w:r>
      <w:r w:rsidR="00020036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D7139F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као и у р</w:t>
      </w:r>
      <w:r w:rsidR="00020036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азвој</w:t>
      </w:r>
      <w:r w:rsidR="00D7139F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="00020036"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корисничких приручника и база одговора на често постављена питања (FAQ)</w:t>
      </w:r>
      <w:r w:rsidR="008E797B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60E4C7DD" w14:textId="60FDD493" w:rsidR="0060775C" w:rsidRDefault="00020036" w:rsidP="00CD4D46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775C">
        <w:rPr>
          <w:rFonts w:ascii="Times New Roman" w:eastAsia="Times New Roman" w:hAnsi="Times New Roman" w:cs="Times New Roman"/>
          <w:sz w:val="24"/>
          <w:szCs w:val="24"/>
          <w:lang w:val="sr-Cyrl-RS"/>
        </w:rPr>
        <w:t>Институционална неусаглашеност и непотпуна имплементација</w:t>
      </w:r>
      <w:r w:rsidR="006077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- п</w:t>
      </w:r>
      <w:r w:rsidRPr="0060775C">
        <w:rPr>
          <w:rFonts w:ascii="Times New Roman" w:eastAsia="Times New Roman" w:hAnsi="Times New Roman" w:cs="Times New Roman"/>
          <w:sz w:val="24"/>
          <w:szCs w:val="24"/>
          <w:lang w:val="sr-Cyrl-RS"/>
        </w:rPr>
        <w:t>остоји ризик да надлежн</w:t>
      </w:r>
      <w:r w:rsidR="0060775C">
        <w:rPr>
          <w:rFonts w:ascii="Times New Roman" w:eastAsia="Times New Roman" w:hAnsi="Times New Roman" w:cs="Times New Roman"/>
          <w:sz w:val="24"/>
          <w:szCs w:val="24"/>
          <w:lang w:val="sr-Cyrl-RS"/>
        </w:rPr>
        <w:t>и органи</w:t>
      </w:r>
      <w:r w:rsidRPr="006077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неће истовремено, ефикасно и координисано имплементирати своје обавезе, што може резултирати празнинама у систему, фрагментисаним решењима или кашњењима у примени</w:t>
      </w:r>
      <w:r w:rsidR="008E797B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68BE7FA7" w14:textId="77777777" w:rsidR="008E797B" w:rsidRDefault="0060775C" w:rsidP="008E797B">
      <w:pPr>
        <w:pStyle w:val="ListParagraph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6077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ере за управљање овим ризиком састоје се 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020036" w:rsidRPr="0060775C">
        <w:rPr>
          <w:rFonts w:ascii="Times New Roman" w:eastAsia="Times New Roman" w:hAnsi="Times New Roman" w:cs="Times New Roman"/>
          <w:sz w:val="24"/>
          <w:szCs w:val="24"/>
          <w:lang w:val="sr-Cyrl-RS"/>
        </w:rPr>
        <w:t>равовремено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="00020036" w:rsidRPr="006077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доношењ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020036" w:rsidRPr="006077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подзаконских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прописа</w:t>
      </w:r>
      <w:r w:rsidR="00020036" w:rsidRPr="006077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којима се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ближе уређују</w:t>
      </w:r>
      <w:r w:rsidR="00020036" w:rsidRPr="006077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обавезе из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овог </w:t>
      </w:r>
      <w:r w:rsidR="00020036" w:rsidRPr="0060775C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образова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>ње међусекторског координационог тима за управљање имплементацијом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="004F3E0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успостављање протокола сарадње, као и, по потреби,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з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акључивање уговора о сарадњи између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учесника у процесу;</w:t>
      </w:r>
    </w:p>
    <w:p w14:paraId="5DFE0201" w14:textId="1F92F962" w:rsidR="008E797B" w:rsidRPr="008E797B" w:rsidRDefault="00020036" w:rsidP="00CD4D46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E79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Застој </w:t>
      </w:r>
      <w:r w:rsidR="008E797B" w:rsidRPr="008E79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раду </w:t>
      </w:r>
      <w:r w:rsidRPr="008E797B">
        <w:rPr>
          <w:rFonts w:ascii="Times New Roman" w:eastAsia="Times New Roman" w:hAnsi="Times New Roman" w:cs="Times New Roman"/>
          <w:sz w:val="24"/>
          <w:szCs w:val="24"/>
          <w:lang w:val="sr-Cyrl-RS"/>
        </w:rPr>
        <w:t>или пад система „е-Боловање – Послодавац</w:t>
      </w:r>
      <w:r w:rsidR="00F62F25" w:rsidRPr="00F62F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="008E797B" w:rsidRPr="008E79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- </w:t>
      </w:r>
      <w:r w:rsidRPr="008E797B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прекид рада или неочекивани технички квар на централној платформи може довести до онемогућавања обраде података о боловању, што има директне последице на права запослених и финансијске токове.</w:t>
      </w:r>
    </w:p>
    <w:p w14:paraId="77B39350" w14:textId="77777777" w:rsidR="008E797B" w:rsidRDefault="008E797B" w:rsidP="008E797B">
      <w:pPr>
        <w:pStyle w:val="ListParagraph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Мере </w:t>
      </w:r>
      <w:r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управљање овим ризиком састоје се 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>ројектовањ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система са високом доступношћу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у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>вођењ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тзв. </w:t>
      </w:r>
      <w:r w:rsidR="00020036" w:rsidRPr="00020036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disaster recovery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механизама и тестирањ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планова опоравка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као и о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>бавезно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дневн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ом пра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>вљењ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безбедносних копија (бек-ап) у сигурном окружењу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65BD7288" w14:textId="67533D7F" w:rsidR="008E797B" w:rsidRDefault="008E797B" w:rsidP="00CD4D46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E797B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020036" w:rsidRPr="008E797B">
        <w:rPr>
          <w:rFonts w:ascii="Times New Roman" w:eastAsia="Times New Roman" w:hAnsi="Times New Roman" w:cs="Times New Roman"/>
          <w:sz w:val="24"/>
          <w:szCs w:val="24"/>
          <w:lang w:val="sr-Cyrl-RS"/>
        </w:rPr>
        <w:t>овреда података о здрављу запослених (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заштита података о личности</w:t>
      </w:r>
      <w:r w:rsidR="00020036" w:rsidRPr="008E797B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- с</w:t>
      </w:r>
      <w:r w:rsidR="00020036" w:rsidRPr="008E79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обзиром на то да се у систему обрађују подаци о здравственом стању, постоји ризик од неовлашћеног приступа, губитка података или злоупотребе, што може довести до повреде приватности у складу са Законом о заштити података о личности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(ЗЗПЛ)</w:t>
      </w:r>
      <w:r w:rsidR="00020036" w:rsidRPr="008E797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EEC3E99" w14:textId="0E5383D4" w:rsidR="00D71C01" w:rsidRDefault="008E797B" w:rsidP="00D71C01">
      <w:pPr>
        <w:pStyle w:val="ListParagraph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Мере </w:t>
      </w:r>
      <w:r w:rsidRPr="00D7139F">
        <w:rPr>
          <w:rFonts w:ascii="Times New Roman" w:eastAsia="Times New Roman" w:hAnsi="Times New Roman" w:cs="Times New Roman"/>
          <w:sz w:val="24"/>
          <w:szCs w:val="24"/>
          <w:lang w:val="sr-Cyrl-RS"/>
        </w:rPr>
        <w:t>за управљање овим ризиком састоје се 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>римен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техничких и организационих мера прописаних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ЗПЛ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(логовање, енкрипција, контроле приступа</w:t>
      </w:r>
      <w:r w:rsidR="00D71C0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оношење интерних аката 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зак</w:t>
      </w:r>
      <w:r w:rsidR="00D71C01">
        <w:rPr>
          <w:rFonts w:ascii="Times New Roman" w:eastAsia="Times New Roman" w:hAnsi="Times New Roman" w:cs="Times New Roman"/>
          <w:sz w:val="24"/>
          <w:szCs w:val="24"/>
          <w:lang w:val="sr-Cyrl-RS"/>
        </w:rPr>
        <w:t>љ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учивање 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>уговора са обрађивачима који</w:t>
      </w:r>
      <w:r w:rsidR="00D71C0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ма се уређује 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>обрад</w:t>
      </w:r>
      <w:r w:rsidR="00D71C01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осетљивих података</w:t>
      </w:r>
      <w:r w:rsidR="00D71C01">
        <w:rPr>
          <w:rFonts w:ascii="Times New Roman" w:eastAsia="Times New Roman" w:hAnsi="Times New Roman" w:cs="Times New Roman"/>
          <w:sz w:val="24"/>
          <w:szCs w:val="24"/>
          <w:lang w:val="sr-Cyrl-RS"/>
        </w:rPr>
        <w:t>, к</w:t>
      </w:r>
      <w:r w:rsidR="00020036" w:rsidRPr="00020036">
        <w:rPr>
          <w:rFonts w:ascii="Times New Roman" w:eastAsia="Times New Roman" w:hAnsi="Times New Roman" w:cs="Times New Roman"/>
          <w:sz w:val="24"/>
          <w:szCs w:val="24"/>
          <w:lang w:val="sr-Cyrl-RS"/>
        </w:rPr>
        <w:t>онтинуирана обука лица која обрађују податке</w:t>
      </w:r>
      <w:r w:rsidR="00D71C01">
        <w:rPr>
          <w:rFonts w:ascii="Times New Roman" w:eastAsia="Times New Roman" w:hAnsi="Times New Roman" w:cs="Times New Roman"/>
          <w:sz w:val="24"/>
          <w:szCs w:val="24"/>
          <w:lang w:val="sr-Cyrl-RS"/>
        </w:rPr>
        <w:t>, л</w:t>
      </w:r>
      <w:r w:rsidR="00D71C01" w:rsidRPr="00D71C01">
        <w:rPr>
          <w:rFonts w:ascii="Times New Roman" w:eastAsia="Times New Roman" w:hAnsi="Times New Roman" w:cs="Times New Roman"/>
          <w:sz w:val="24"/>
          <w:szCs w:val="24"/>
          <w:lang w:val="sr-Cyrl-RS"/>
        </w:rPr>
        <w:t>оговање приступа и енкрипција осетљивих података</w:t>
      </w:r>
      <w:r w:rsidR="00D71C01">
        <w:rPr>
          <w:rFonts w:ascii="Times New Roman" w:eastAsia="Times New Roman" w:hAnsi="Times New Roman" w:cs="Times New Roman"/>
          <w:sz w:val="24"/>
          <w:szCs w:val="24"/>
          <w:lang w:val="sr-Cyrl-RS"/>
        </w:rPr>
        <w:t>, у</w:t>
      </w:r>
      <w:r w:rsid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D71C01" w:rsidRPr="00D71C01">
        <w:rPr>
          <w:rFonts w:ascii="Times New Roman" w:eastAsia="Times New Roman" w:hAnsi="Times New Roman" w:cs="Times New Roman"/>
          <w:sz w:val="24"/>
          <w:szCs w:val="24"/>
          <w:lang w:val="sr-Cyrl-RS"/>
        </w:rPr>
        <w:t>утства и уговори са обрађивачима података</w:t>
      </w:r>
      <w:r w:rsidR="00D71C01">
        <w:rPr>
          <w:rFonts w:ascii="Times New Roman" w:eastAsia="Times New Roman" w:hAnsi="Times New Roman" w:cs="Times New Roman"/>
          <w:sz w:val="24"/>
          <w:szCs w:val="24"/>
          <w:lang w:val="sr-Cyrl-RS"/>
        </w:rPr>
        <w:t>);</w:t>
      </w:r>
    </w:p>
    <w:p w14:paraId="42C96AEA" w14:textId="77777777" w:rsidR="00552D71" w:rsidRDefault="00D71C01" w:rsidP="00CD4D46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="00020036"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едовољна употреба система од стране корисника</w:t>
      </w:r>
      <w:r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– наиме, </w:t>
      </w:r>
      <w:r w:rsidR="00020036"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и када је пропис обавезујући, може се десити да се у пракси корисници не придржавају нових процедура, настављајући рад по стар</w:t>
      </w:r>
      <w:r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ој пракси, тј. користећи </w:t>
      </w:r>
      <w:r w:rsidR="00020036"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папи</w:t>
      </w:r>
      <w:r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рну ф</w:t>
      </w:r>
      <w:r w:rsidR="00020036"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орм</w:t>
      </w:r>
      <w:r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4109310D" w14:textId="1C04B056" w:rsidR="00947B3F" w:rsidRDefault="00D71C01" w:rsidP="00552D71">
      <w:pPr>
        <w:pStyle w:val="ListParagraph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Мере за управљање овим ризиком састоје се у п</w:t>
      </w:r>
      <w:r w:rsidR="00020036"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рописивањ</w:t>
      </w:r>
      <w:r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020036"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обавез</w:t>
      </w:r>
      <w:r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="00020036"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е примене система</w:t>
      </w:r>
      <w:r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спровођењу инспекцијског надзора </w:t>
      </w:r>
      <w:r w:rsidR="00020036"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над применом </w:t>
      </w:r>
      <w:r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овог закона</w:t>
      </w:r>
      <w:r w:rsidR="00552D71"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74D96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складу са Законом о инспекцијском надзору („Службени гласник РС</w:t>
      </w:r>
      <w:r w:rsidR="00013AD3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074D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бр. </w:t>
      </w:r>
      <w:r w:rsidR="00074D96" w:rsidRPr="00074D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36/15, 44/18 - </w:t>
      </w:r>
      <w:r w:rsidR="00074D96">
        <w:rPr>
          <w:rFonts w:ascii="Times New Roman" w:eastAsia="Times New Roman" w:hAnsi="Times New Roman" w:cs="Times New Roman"/>
          <w:sz w:val="24"/>
          <w:szCs w:val="24"/>
          <w:lang w:val="sr-Cyrl-RS"/>
        </w:rPr>
        <w:t>др</w:t>
      </w:r>
      <w:r w:rsidR="00074D96" w:rsidRPr="00074D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074D96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 и</w:t>
      </w:r>
      <w:r w:rsidR="00074D96" w:rsidRPr="00074D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95/18</w:t>
      </w:r>
      <w:r w:rsidR="00074D96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</w:p>
    <w:p w14:paraId="655B23FD" w14:textId="56B5619C" w:rsidR="00020036" w:rsidRDefault="00074D96" w:rsidP="00552D71">
      <w:pPr>
        <w:pStyle w:val="ListParagraph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74D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52D71"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и у</w:t>
      </w:r>
      <w:r w:rsidR="00020036"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вођењ</w:t>
      </w:r>
      <w:r w:rsidR="00552D71"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020036" w:rsidRPr="00552D7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механизама извештавања и мониторинга о примени система, са редовним извештавањем Владе и јавности.</w:t>
      </w:r>
    </w:p>
    <w:p w14:paraId="6762B07D" w14:textId="2A9FD9AD" w:rsidR="00A96D8E" w:rsidRDefault="00A96D8E" w:rsidP="00A96D8E">
      <w:pPr>
        <w:pStyle w:val="basic-paragraph"/>
        <w:spacing w:before="0" w:beforeAutospacing="0" w:after="0" w:afterAutospacing="0"/>
        <w:jc w:val="center"/>
        <w:rPr>
          <w:rStyle w:val="italik"/>
          <w:b/>
          <w:bCs/>
          <w:color w:val="000000"/>
          <w:lang w:val="sr-Cyrl-RS"/>
        </w:rPr>
      </w:pPr>
      <w:r w:rsidRPr="000C3E5E">
        <w:rPr>
          <w:rStyle w:val="italik"/>
          <w:b/>
          <w:bCs/>
          <w:color w:val="000000"/>
          <w:lang w:val="sr-Cyrl-RS"/>
        </w:rPr>
        <w:t>Табела</w:t>
      </w:r>
      <w:r w:rsidR="000C3E5E" w:rsidRPr="000C3E5E">
        <w:rPr>
          <w:rStyle w:val="italik"/>
          <w:b/>
          <w:bCs/>
          <w:color w:val="000000"/>
          <w:lang w:val="sr-Cyrl-RS"/>
        </w:rPr>
        <w:t xml:space="preserve"> 1</w:t>
      </w:r>
      <w:r w:rsidR="00F4373D">
        <w:rPr>
          <w:rStyle w:val="italik"/>
          <w:b/>
          <w:bCs/>
          <w:color w:val="000000"/>
          <w:lang w:val="sr-Cyrl-RS"/>
        </w:rPr>
        <w:t>0</w:t>
      </w:r>
      <w:r w:rsidRPr="000C3E5E">
        <w:rPr>
          <w:rStyle w:val="italik"/>
          <w:b/>
          <w:bCs/>
          <w:color w:val="000000"/>
          <w:lang w:val="sr-Cyrl-RS"/>
        </w:rPr>
        <w:t>: Матрица</w:t>
      </w:r>
      <w:r>
        <w:rPr>
          <w:rStyle w:val="italik"/>
          <w:b/>
          <w:bCs/>
          <w:color w:val="000000"/>
          <w:lang w:val="sr-Cyrl-RS"/>
        </w:rPr>
        <w:t xml:space="preserve"> ризика за примену овог закона</w:t>
      </w:r>
    </w:p>
    <w:p w14:paraId="1113CDD8" w14:textId="77777777" w:rsidR="00A96D8E" w:rsidRPr="00097F83" w:rsidRDefault="00A96D8E" w:rsidP="00A96D8E">
      <w:pPr>
        <w:pStyle w:val="basic-paragraph"/>
        <w:spacing w:before="0" w:beforeAutospacing="0" w:after="0" w:afterAutospacing="0"/>
        <w:jc w:val="center"/>
        <w:rPr>
          <w:rStyle w:val="italik"/>
          <w:b/>
          <w:bCs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9"/>
        <w:gridCol w:w="2893"/>
        <w:gridCol w:w="3118"/>
      </w:tblGrid>
      <w:tr w:rsidR="00F060FC" w:rsidRPr="00F060FC" w14:paraId="486D8354" w14:textId="77777777" w:rsidTr="004F3E05">
        <w:tc>
          <w:tcPr>
            <w:tcW w:w="0" w:type="auto"/>
            <w:hideMark/>
          </w:tcPr>
          <w:p w14:paraId="47D759C9" w14:textId="77777777" w:rsidR="00F060FC" w:rsidRPr="00F060FC" w:rsidRDefault="00F060FC" w:rsidP="00F0351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060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Ризик</w:t>
            </w:r>
          </w:p>
        </w:tc>
        <w:tc>
          <w:tcPr>
            <w:tcW w:w="2893" w:type="dxa"/>
            <w:hideMark/>
          </w:tcPr>
          <w:p w14:paraId="2B9C501C" w14:textId="77777777" w:rsidR="00F060FC" w:rsidRPr="00F060FC" w:rsidRDefault="00F060FC" w:rsidP="00F0351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060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Опис</w:t>
            </w:r>
          </w:p>
        </w:tc>
        <w:tc>
          <w:tcPr>
            <w:tcW w:w="3118" w:type="dxa"/>
            <w:hideMark/>
          </w:tcPr>
          <w:p w14:paraId="26B9FEB7" w14:textId="613D4FFF" w:rsidR="00F060FC" w:rsidRPr="00F060FC" w:rsidRDefault="00F060FC" w:rsidP="000C3E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060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Мере за </w:t>
            </w:r>
            <w:r w:rsidR="000C3E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ууправљање ризицима (</w:t>
            </w:r>
            <w:r w:rsidRPr="00F060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смањење вероватноће и/или ублажавање последица</w:t>
            </w:r>
            <w:r w:rsidR="000C3E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</w:tr>
      <w:tr w:rsidR="00F060FC" w:rsidRPr="00F060FC" w14:paraId="1D13E75E" w14:textId="77777777" w:rsidTr="004F3E05">
        <w:tc>
          <w:tcPr>
            <w:tcW w:w="0" w:type="auto"/>
            <w:hideMark/>
          </w:tcPr>
          <w:p w14:paraId="2C5406FB" w14:textId="77777777" w:rsidR="00F060FC" w:rsidRPr="00F060FC" w:rsidRDefault="00F060FC" w:rsidP="00074D9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060FC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RS"/>
              </w:rPr>
              <w:t>Недовољна техничка припремљеност корисника (послодавци, лекари, РФЗО)</w:t>
            </w:r>
          </w:p>
        </w:tc>
        <w:tc>
          <w:tcPr>
            <w:tcW w:w="2893" w:type="dxa"/>
            <w:hideMark/>
          </w:tcPr>
          <w:p w14:paraId="2E9CA061" w14:textId="55E67E9B" w:rsidR="00F060FC" w:rsidRPr="00F060FC" w:rsidRDefault="00F060FC" w:rsidP="004F3E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Корисници немају потребне капацитете (опрему, интернет, знање) за коришћење система</w:t>
            </w:r>
          </w:p>
        </w:tc>
        <w:tc>
          <w:tcPr>
            <w:tcW w:w="3118" w:type="dxa"/>
            <w:hideMark/>
          </w:tcPr>
          <w:p w14:paraId="49C170DF" w14:textId="3DB19C6E" w:rsidR="00F060FC" w:rsidRPr="00F060FC" w:rsidRDefault="00F060FC" w:rsidP="004F3E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Организовање обука и </w:t>
            </w:r>
            <w:r w:rsidR="004F3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вебинара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/>
              <w:t>- Пружање техничке подршке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/>
              <w:t>- Развој корисничких приручника и FAQ</w:t>
            </w:r>
          </w:p>
        </w:tc>
      </w:tr>
      <w:tr w:rsidR="00F060FC" w:rsidRPr="00F060FC" w14:paraId="344B7C42" w14:textId="77777777" w:rsidTr="004F3E05">
        <w:tc>
          <w:tcPr>
            <w:tcW w:w="0" w:type="auto"/>
            <w:hideMark/>
          </w:tcPr>
          <w:p w14:paraId="1F9FB826" w14:textId="77777777" w:rsidR="00F060FC" w:rsidRPr="00F060FC" w:rsidRDefault="00F060FC" w:rsidP="00074D9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060FC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RS"/>
              </w:rPr>
              <w:t>Институционална неусаглашеност и непотпуна имплементација</w:t>
            </w:r>
          </w:p>
        </w:tc>
        <w:tc>
          <w:tcPr>
            <w:tcW w:w="2893" w:type="dxa"/>
            <w:hideMark/>
          </w:tcPr>
          <w:p w14:paraId="4D6849B8" w14:textId="70FA85A8" w:rsidR="00F060FC" w:rsidRPr="00F060FC" w:rsidRDefault="00F060FC" w:rsidP="004F3E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Неразумевање или кашњење у спровођењу обавеза од стране надлежних </w:t>
            </w:r>
            <w:r w:rsidR="004F3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органа</w:t>
            </w:r>
          </w:p>
        </w:tc>
        <w:tc>
          <w:tcPr>
            <w:tcW w:w="3118" w:type="dxa"/>
            <w:hideMark/>
          </w:tcPr>
          <w:p w14:paraId="34E0EF5C" w14:textId="39C7BD92" w:rsidR="00F060FC" w:rsidRPr="00F060FC" w:rsidRDefault="00F060FC" w:rsidP="004F3E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Доношење подзаконских </w:t>
            </w:r>
            <w:r w:rsidR="004F3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пропис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у року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/>
              <w:t>- Формирање оперативног тима за координацију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/>
              <w:t xml:space="preserve">- </w:t>
            </w:r>
            <w:r w:rsidR="004F3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Протоколи и у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говори о сарадњи </w:t>
            </w:r>
          </w:p>
        </w:tc>
      </w:tr>
      <w:tr w:rsidR="00F060FC" w:rsidRPr="00F060FC" w14:paraId="72A81DEA" w14:textId="77777777" w:rsidTr="004F3E05">
        <w:tc>
          <w:tcPr>
            <w:tcW w:w="0" w:type="auto"/>
            <w:hideMark/>
          </w:tcPr>
          <w:p w14:paraId="4EEAAFAA" w14:textId="3983476A" w:rsidR="00F060FC" w:rsidRPr="00F060FC" w:rsidRDefault="00F060FC" w:rsidP="00074D9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060FC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RS"/>
              </w:rPr>
              <w:t>Засто</w:t>
            </w:r>
            <w:r w:rsidR="008E797B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 у раду </w:t>
            </w:r>
            <w:r w:rsidRPr="00F060FC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RS"/>
              </w:rPr>
              <w:t>или пад система „Е-боловање – Послодавац</w:t>
            </w:r>
            <w:r w:rsidR="00F62F25" w:rsidRPr="00F62F25">
              <w:rPr>
                <w:rStyle w:val="Strong"/>
                <w:rFonts w:ascii="Times New Roman" w:hAnsi="Times New Roman" w:cs="Times New Roman"/>
                <w:bCs w:val="0"/>
                <w:sz w:val="24"/>
                <w:szCs w:val="24"/>
                <w:lang w:val="sr-Cyrl-CS"/>
              </w:rPr>
              <w:t>”</w:t>
            </w:r>
          </w:p>
        </w:tc>
        <w:tc>
          <w:tcPr>
            <w:tcW w:w="2893" w:type="dxa"/>
            <w:hideMark/>
          </w:tcPr>
          <w:p w14:paraId="1C61F5BC" w14:textId="0693F4D3" w:rsidR="00F060FC" w:rsidRPr="00F060FC" w:rsidRDefault="00F060FC" w:rsidP="004F3E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Прекид сервиса или недоступност података може угрозити рад и права запослених</w:t>
            </w:r>
          </w:p>
        </w:tc>
        <w:tc>
          <w:tcPr>
            <w:tcW w:w="3118" w:type="dxa"/>
            <w:hideMark/>
          </w:tcPr>
          <w:p w14:paraId="751CF321" w14:textId="6AE716AF" w:rsidR="00F060FC" w:rsidRPr="00F060FC" w:rsidRDefault="00F060FC" w:rsidP="004F3E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Планирање хостинг инфраструктуре са високим нивоом доступности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/>
              <w:t xml:space="preserve">- Обезбеђивање </w:t>
            </w:r>
            <w:r w:rsidRPr="004F3E0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disaster recovery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механизама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/>
              <w:t xml:space="preserve">- Дневни бек-ап </w:t>
            </w:r>
            <w:r w:rsidR="000C3E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података</w:t>
            </w:r>
            <w:r w:rsidR="00C107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докумената</w:t>
            </w:r>
          </w:p>
        </w:tc>
      </w:tr>
      <w:tr w:rsidR="00F060FC" w:rsidRPr="00F060FC" w14:paraId="462E367B" w14:textId="77777777" w:rsidTr="004F3E05">
        <w:tc>
          <w:tcPr>
            <w:tcW w:w="0" w:type="auto"/>
            <w:hideMark/>
          </w:tcPr>
          <w:p w14:paraId="36908DA0" w14:textId="33957A08" w:rsidR="00F060FC" w:rsidRPr="00F060FC" w:rsidRDefault="00F060FC" w:rsidP="00074D9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060FC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RS"/>
              </w:rPr>
              <w:t>Повреда података о здрављу запослених (</w:t>
            </w:r>
            <w:r w:rsidR="00020036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RS"/>
              </w:rPr>
              <w:t>заштита података о личности)</w:t>
            </w:r>
          </w:p>
        </w:tc>
        <w:tc>
          <w:tcPr>
            <w:tcW w:w="2893" w:type="dxa"/>
            <w:hideMark/>
          </w:tcPr>
          <w:p w14:paraId="6295F117" w14:textId="7524076F" w:rsidR="00F060FC" w:rsidRPr="00F060FC" w:rsidRDefault="00F060FC" w:rsidP="004F3E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Неконтролисан приступ подацима или недовољне мере заштите</w:t>
            </w:r>
          </w:p>
        </w:tc>
        <w:tc>
          <w:tcPr>
            <w:tcW w:w="3118" w:type="dxa"/>
            <w:hideMark/>
          </w:tcPr>
          <w:p w14:paraId="2D4EE183" w14:textId="041BD27C" w:rsidR="00F060FC" w:rsidRPr="00F060FC" w:rsidRDefault="00F060FC" w:rsidP="004F3E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Примена мера безбедности из </w:t>
            </w:r>
            <w:r w:rsidR="004F3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ЗЗПЛ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/>
              <w:t>- Логовање приступа и енкрипција осетљивих података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/>
              <w:t xml:space="preserve">- </w:t>
            </w:r>
            <w:r w:rsidR="004F3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путства и уговори са обрађивачима података</w:t>
            </w:r>
          </w:p>
        </w:tc>
      </w:tr>
      <w:tr w:rsidR="00F060FC" w:rsidRPr="00F060FC" w14:paraId="6D31A2C7" w14:textId="77777777" w:rsidTr="004F3E05">
        <w:tc>
          <w:tcPr>
            <w:tcW w:w="0" w:type="auto"/>
            <w:hideMark/>
          </w:tcPr>
          <w:p w14:paraId="75ECE8FE" w14:textId="77777777" w:rsidR="00F060FC" w:rsidRPr="00F060FC" w:rsidRDefault="00F060FC" w:rsidP="00074D9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060FC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RS"/>
              </w:rPr>
              <w:t>Недовољна употреба система од стране корисника</w:t>
            </w:r>
          </w:p>
        </w:tc>
        <w:tc>
          <w:tcPr>
            <w:tcW w:w="2893" w:type="dxa"/>
            <w:hideMark/>
          </w:tcPr>
          <w:p w14:paraId="1CB35016" w14:textId="00B36414" w:rsidR="00F060FC" w:rsidRPr="00F060FC" w:rsidRDefault="00F060FC" w:rsidP="004F3E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Иако је пропис донет, у пракси се наставља рад по стар</w:t>
            </w:r>
            <w:r w:rsidR="004F3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 пракси</w:t>
            </w:r>
          </w:p>
        </w:tc>
        <w:tc>
          <w:tcPr>
            <w:tcW w:w="3118" w:type="dxa"/>
            <w:hideMark/>
          </w:tcPr>
          <w:p w14:paraId="2614208E" w14:textId="0C8CAC63" w:rsidR="00F060FC" w:rsidRPr="00F060FC" w:rsidRDefault="00F060FC" w:rsidP="004F3E0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8E79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римен</w:t>
            </w:r>
            <w:r w:rsidR="008E79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мера из ЗЗПЛ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/>
              <w:t xml:space="preserve">- </w:t>
            </w:r>
            <w:r w:rsidR="004F3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спекцијски</w:t>
            </w:r>
            <w:r w:rsidR="004F3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надзор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/>
              <w:t xml:space="preserve">- Праћење примене и извештавање </w:t>
            </w:r>
            <w:r w:rsidR="004F3E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 </w:t>
            </w:r>
            <w:r w:rsidRPr="00F060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Влади</w:t>
            </w:r>
          </w:p>
        </w:tc>
      </w:tr>
    </w:tbl>
    <w:p w14:paraId="1E817B76" w14:textId="2F179EC5" w:rsidR="00A96D8E" w:rsidRPr="00CD7392" w:rsidRDefault="00A96D8E" w:rsidP="00A96D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D739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10. Извештај о спроведеним консултацијама. </w:t>
      </w:r>
    </w:p>
    <w:p w14:paraId="686A0D98" w14:textId="0E9B1AA8" w:rsidR="00A96D8E" w:rsidRPr="00CD7392" w:rsidRDefault="00A96D8E" w:rsidP="00A96D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D739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1) Одредити циљне групе и заинтересоване стране које је потребно укључити у процес консултација.</w:t>
      </w:r>
    </w:p>
    <w:p w14:paraId="6F5A4B63" w14:textId="01B288A5" w:rsidR="00AF0511" w:rsidRPr="007A3470" w:rsidRDefault="0061027B" w:rsidP="00A96D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D7392">
        <w:rPr>
          <w:rFonts w:ascii="Times New Roman" w:eastAsia="Times New Roman" w:hAnsi="Times New Roman" w:cs="Times New Roman"/>
          <w:sz w:val="24"/>
          <w:szCs w:val="24"/>
          <w:lang w:val="sr-Cyrl-RS"/>
        </w:rPr>
        <w:t>Циљне групе и заинтересоване стране за доношење и примену овог закона дају се у табели у наставку ове анализе.</w:t>
      </w:r>
    </w:p>
    <w:p w14:paraId="1B30E7AC" w14:textId="6A0B64CD" w:rsidR="00F060FC" w:rsidRPr="00CD7392" w:rsidRDefault="00AF0511" w:rsidP="00AF0511">
      <w:pPr>
        <w:pStyle w:val="Heading3"/>
        <w:jc w:val="center"/>
        <w:rPr>
          <w:sz w:val="24"/>
          <w:szCs w:val="24"/>
          <w:lang w:val="sr-Cyrl-RS"/>
        </w:rPr>
      </w:pPr>
      <w:r w:rsidRPr="00CD7392">
        <w:rPr>
          <w:sz w:val="24"/>
          <w:szCs w:val="24"/>
          <w:lang w:val="sr-Cyrl-RS"/>
        </w:rPr>
        <w:t>Табела 1</w:t>
      </w:r>
      <w:r w:rsidR="00F4373D">
        <w:rPr>
          <w:sz w:val="24"/>
          <w:szCs w:val="24"/>
          <w:lang w:val="sr-Cyrl-RS"/>
        </w:rPr>
        <w:t>1</w:t>
      </w:r>
      <w:r w:rsidRPr="00CD7392">
        <w:rPr>
          <w:sz w:val="24"/>
          <w:szCs w:val="24"/>
          <w:lang w:val="sr-Cyrl-RS"/>
        </w:rPr>
        <w:t xml:space="preserve">: </w:t>
      </w:r>
      <w:r w:rsidR="00F060FC" w:rsidRPr="00CD7392">
        <w:rPr>
          <w:sz w:val="24"/>
          <w:szCs w:val="24"/>
          <w:lang w:val="sr-Cyrl-RS"/>
        </w:rPr>
        <w:t>Циљне групе и заинтересоване стране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236"/>
      </w:tblGrid>
      <w:tr w:rsidR="00AF0511" w:rsidRPr="00CD7392" w14:paraId="3190ABC8" w14:textId="77777777" w:rsidTr="00AF0511">
        <w:tc>
          <w:tcPr>
            <w:tcW w:w="3114" w:type="dxa"/>
            <w:hideMark/>
          </w:tcPr>
          <w:p w14:paraId="3E3467A8" w14:textId="77777777" w:rsidR="00AF0511" w:rsidRPr="00CD7392" w:rsidRDefault="00AF0511" w:rsidP="00AF05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D73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Категорија</w:t>
            </w:r>
          </w:p>
        </w:tc>
        <w:tc>
          <w:tcPr>
            <w:tcW w:w="6236" w:type="dxa"/>
            <w:hideMark/>
          </w:tcPr>
          <w:p w14:paraId="7B797E61" w14:textId="5C9083A8" w:rsidR="00AF0511" w:rsidRPr="00CD7392" w:rsidRDefault="00AF0511" w:rsidP="00AF05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D73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Конкретизација/примери</w:t>
            </w:r>
          </w:p>
        </w:tc>
      </w:tr>
      <w:tr w:rsidR="00AF0511" w:rsidRPr="00CD7392" w14:paraId="1885D864" w14:textId="77777777" w:rsidTr="00AF0511">
        <w:tc>
          <w:tcPr>
            <w:tcW w:w="3114" w:type="dxa"/>
            <w:hideMark/>
          </w:tcPr>
          <w:p w14:paraId="161ADEC4" w14:textId="77777777" w:rsidR="00AF0511" w:rsidRPr="00CD7392" w:rsidRDefault="00AF0511" w:rsidP="00AF051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392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RS"/>
              </w:rPr>
              <w:t>Државни органи</w:t>
            </w:r>
          </w:p>
        </w:tc>
        <w:tc>
          <w:tcPr>
            <w:tcW w:w="6236" w:type="dxa"/>
            <w:hideMark/>
          </w:tcPr>
          <w:p w14:paraId="1FE0C724" w14:textId="6C4158B7" w:rsidR="00AF0511" w:rsidRPr="00CD7392" w:rsidRDefault="00AF0511" w:rsidP="00AF051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Канцеларија за ИТ и еУправу, Министарство здравља, Министарство за рад, запошљавање, борачка и социјална питања, РФЗО</w:t>
            </w:r>
            <w:r w:rsidR="00A37B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Министарство привреде, Министарство финансија</w:t>
            </w:r>
          </w:p>
        </w:tc>
      </w:tr>
      <w:tr w:rsidR="00AF0511" w:rsidRPr="00CD7392" w14:paraId="43DD4F0C" w14:textId="77777777" w:rsidTr="00AF0511">
        <w:tc>
          <w:tcPr>
            <w:tcW w:w="3114" w:type="dxa"/>
            <w:hideMark/>
          </w:tcPr>
          <w:p w14:paraId="61CB3E21" w14:textId="77777777" w:rsidR="00AF0511" w:rsidRPr="00CD7392" w:rsidRDefault="00AF0511" w:rsidP="00AF051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392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RS"/>
              </w:rPr>
              <w:t>Здравствене установе</w:t>
            </w:r>
          </w:p>
        </w:tc>
        <w:tc>
          <w:tcPr>
            <w:tcW w:w="6236" w:type="dxa"/>
            <w:hideMark/>
          </w:tcPr>
          <w:p w14:paraId="4D1B74F8" w14:textId="4E570016" w:rsidR="00AF0511" w:rsidRPr="00CD7392" w:rsidRDefault="00AF0511" w:rsidP="00F03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Домови здравља и болнице</w:t>
            </w:r>
          </w:p>
        </w:tc>
      </w:tr>
      <w:tr w:rsidR="00AF0511" w:rsidRPr="00CD7392" w14:paraId="56224E63" w14:textId="77777777" w:rsidTr="00AF0511">
        <w:trPr>
          <w:trHeight w:val="435"/>
        </w:trPr>
        <w:tc>
          <w:tcPr>
            <w:tcW w:w="3114" w:type="dxa"/>
            <w:hideMark/>
          </w:tcPr>
          <w:p w14:paraId="1C2E63D7" w14:textId="77777777" w:rsidR="00AF0511" w:rsidRPr="00CD7392" w:rsidRDefault="00AF0511" w:rsidP="00AF051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392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RS"/>
              </w:rPr>
              <w:t>Послодавци</w:t>
            </w:r>
          </w:p>
        </w:tc>
        <w:tc>
          <w:tcPr>
            <w:tcW w:w="6236" w:type="dxa"/>
            <w:hideMark/>
          </w:tcPr>
          <w:p w14:paraId="3AB8F8D6" w14:textId="7E0513FC" w:rsidR="00AF0511" w:rsidRPr="00CD7392" w:rsidRDefault="00AF0511" w:rsidP="00F03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НАЛЕД</w:t>
            </w:r>
            <w:r w:rsidR="00A449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ПКС</w:t>
            </w:r>
            <w:r w:rsidR="00A37B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A449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4492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FIC</w:t>
            </w:r>
            <w:r w:rsidR="00A37B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Унија послодааца Србије</w:t>
            </w:r>
            <w:r w:rsidRPr="00CD7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/представници великих и средњих привредних друштава</w:t>
            </w:r>
          </w:p>
        </w:tc>
      </w:tr>
      <w:tr w:rsidR="00AF0511" w:rsidRPr="00CD7392" w14:paraId="5E7626AB" w14:textId="77777777" w:rsidTr="00AF0511">
        <w:tc>
          <w:tcPr>
            <w:tcW w:w="3114" w:type="dxa"/>
            <w:hideMark/>
          </w:tcPr>
          <w:p w14:paraId="7D261CBA" w14:textId="61BBDD6D" w:rsidR="00AF0511" w:rsidRPr="00CD7392" w:rsidRDefault="00AF0511" w:rsidP="00AF051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392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RS"/>
              </w:rPr>
              <w:t>Запослени</w:t>
            </w:r>
          </w:p>
        </w:tc>
        <w:tc>
          <w:tcPr>
            <w:tcW w:w="6236" w:type="dxa"/>
            <w:hideMark/>
          </w:tcPr>
          <w:p w14:paraId="3A2919EF" w14:textId="2B415D25" w:rsidR="00AF0511" w:rsidRPr="00CD7392" w:rsidRDefault="00AF0511" w:rsidP="00F03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D73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Репрезентативни синдикати</w:t>
            </w:r>
          </w:p>
        </w:tc>
      </w:tr>
    </w:tbl>
    <w:p w14:paraId="71258810" w14:textId="6F19E872" w:rsidR="00F060FC" w:rsidRDefault="00F060FC" w:rsidP="00F0351D">
      <w:pPr>
        <w:pStyle w:val="NormalWeb"/>
        <w:jc w:val="both"/>
        <w:rPr>
          <w:lang w:val="sr-Cyrl-RS"/>
        </w:rPr>
      </w:pPr>
      <w:r w:rsidRPr="00CD7392">
        <w:rPr>
          <w:lang w:val="sr-Cyrl-RS"/>
        </w:rPr>
        <w:t xml:space="preserve">Консултације су спровођене у формалном и неформалном облику током израде нацрта </w:t>
      </w:r>
      <w:r w:rsidR="00AF0511" w:rsidRPr="00CD7392">
        <w:rPr>
          <w:lang w:val="sr-Cyrl-RS"/>
        </w:rPr>
        <w:t>закон</w:t>
      </w:r>
      <w:r w:rsidRPr="00CD7392">
        <w:rPr>
          <w:lang w:val="sr-Cyrl-RS"/>
        </w:rPr>
        <w:t>а, при чему је добијена значајна подршка за спровођење предложеног решења од стране већине учесника.</w:t>
      </w:r>
    </w:p>
    <w:p w14:paraId="2A68D3D9" w14:textId="68741930" w:rsidR="003E0FF2" w:rsidRPr="007A3470" w:rsidRDefault="003E0FF2" w:rsidP="003E0FF2">
      <w:pPr>
        <w:pStyle w:val="NormalWeb"/>
        <w:jc w:val="both"/>
        <w:rPr>
          <w:lang w:val="sr-Cyrl-RS"/>
        </w:rPr>
      </w:pPr>
      <w:r>
        <w:rPr>
          <w:lang w:val="sr-Latn-RS"/>
        </w:rPr>
        <w:t>K</w:t>
      </w:r>
      <w:r w:rsidRPr="003E0FF2">
        <w:rPr>
          <w:lang w:val="sr-Latn-RS"/>
        </w:rPr>
        <w:t>анцеларија за информационе технологије и електронску управу</w:t>
      </w:r>
      <w:r>
        <w:rPr>
          <w:lang w:val="sr-Cyrl-RS"/>
        </w:rPr>
        <w:t>, у складу са ч</w:t>
      </w:r>
      <w:r w:rsidRPr="003E0FF2">
        <w:rPr>
          <w:lang w:val="sr-Cyrl-RS"/>
        </w:rPr>
        <w:t xml:space="preserve">ланом 77. став 2. Закона о државној управи </w:t>
      </w:r>
      <w:r>
        <w:rPr>
          <w:lang w:val="sr-Cyrl-RS"/>
        </w:rPr>
        <w:t>и ч</w:t>
      </w:r>
      <w:r w:rsidRPr="003E0FF2">
        <w:rPr>
          <w:lang w:val="sr-Cyrl-RS"/>
        </w:rPr>
        <w:t xml:space="preserve">ланом </w:t>
      </w:r>
      <w:r>
        <w:rPr>
          <w:lang w:val="sr-Cyrl-RS"/>
        </w:rPr>
        <w:t>41</w:t>
      </w:r>
      <w:r w:rsidRPr="003E0FF2">
        <w:rPr>
          <w:lang w:val="sr-Cyrl-RS"/>
        </w:rPr>
        <w:t>. Закона о планском систему Републике Србије („Службени гласник РСˮ, број 30/18)</w:t>
      </w:r>
      <w:r>
        <w:rPr>
          <w:lang w:val="sr-Cyrl-RS"/>
        </w:rPr>
        <w:t>, је</w:t>
      </w:r>
      <w:r>
        <w:rPr>
          <w:lang w:val="sr-Latn-RS"/>
        </w:rPr>
        <w:t xml:space="preserve"> 26</w:t>
      </w:r>
      <w:r>
        <w:rPr>
          <w:lang w:val="sr-Cyrl-RS"/>
        </w:rPr>
        <w:t>. августа 2025</w:t>
      </w:r>
      <w:r>
        <w:rPr>
          <w:lang w:val="sr-Latn-RS"/>
        </w:rPr>
        <w:t xml:space="preserve"> </w:t>
      </w:r>
      <w:r w:rsidRPr="003E0FF2">
        <w:rPr>
          <w:lang w:val="sr-Latn-RS"/>
        </w:rPr>
        <w:t>обаве</w:t>
      </w:r>
      <w:r>
        <w:rPr>
          <w:lang w:val="sr-Cyrl-RS"/>
        </w:rPr>
        <w:t>стила</w:t>
      </w:r>
      <w:r w:rsidRPr="003E0FF2">
        <w:rPr>
          <w:lang w:val="sr-Latn-RS"/>
        </w:rPr>
        <w:t xml:space="preserve"> јавност да отпочиње израда </w:t>
      </w:r>
      <w:r>
        <w:rPr>
          <w:lang w:val="sr-Cyrl-RS"/>
        </w:rPr>
        <w:t>овог н</w:t>
      </w:r>
      <w:r w:rsidRPr="003E0FF2">
        <w:rPr>
          <w:lang w:val="sr-Latn-RS"/>
        </w:rPr>
        <w:t xml:space="preserve">ацрта закона </w:t>
      </w:r>
      <w:r>
        <w:rPr>
          <w:lang w:val="sr-Cyrl-RS"/>
        </w:rPr>
        <w:t xml:space="preserve">(линк: </w:t>
      </w:r>
      <w:hyperlink r:id="rId11" w:history="1">
        <w:r w:rsidRPr="007E7AA8">
          <w:rPr>
            <w:rStyle w:val="Hyperlink"/>
            <w:lang w:val="sr-Cyrl-RS"/>
          </w:rPr>
          <w:t>https://www.ite.gov.rs/vest/sr/10539/obavestenje-o-otpocinjanju-izrade-nacrta-zakona-o-razmeni-podataka-dokumenata-i-obavestenja-u-slucaju-nastupanja-privremene-sprecenosti-za-rad-koriscenjem-softverskog-resenja-e-bolovanje-poslodavac.php</w:t>
        </w:r>
      </w:hyperlink>
      <w:r w:rsidRPr="003E0FF2">
        <w:rPr>
          <w:lang w:val="sr-Latn-RS"/>
        </w:rPr>
        <w:t>)</w:t>
      </w:r>
      <w:r>
        <w:rPr>
          <w:lang w:val="sr-Cyrl-RS"/>
        </w:rPr>
        <w:t xml:space="preserve"> и </w:t>
      </w:r>
      <w:r w:rsidRPr="003E0FF2">
        <w:rPr>
          <w:lang w:val="sr-Latn-RS"/>
        </w:rPr>
        <w:t>позва</w:t>
      </w:r>
      <w:r>
        <w:rPr>
          <w:lang w:val="sr-Cyrl-RS"/>
        </w:rPr>
        <w:t>ла</w:t>
      </w:r>
      <w:r w:rsidRPr="003E0FF2">
        <w:rPr>
          <w:lang w:val="sr-Latn-RS"/>
        </w:rPr>
        <w:t xml:space="preserve"> представнике државних органа и организација, удружења, привредних субјеката, стручне јавности, као и друге заинтересоване стране да се упознају са текстом радне верзије </w:t>
      </w:r>
      <w:r>
        <w:rPr>
          <w:lang w:val="sr-Cyrl-RS"/>
        </w:rPr>
        <w:t>овог н</w:t>
      </w:r>
      <w:r w:rsidRPr="003E0FF2">
        <w:rPr>
          <w:lang w:val="sr-Latn-RS"/>
        </w:rPr>
        <w:t>ацрта закона и да најкасније до 11. септембра 2025. године дају своје коментаре, сугестије и предлоге.</w:t>
      </w:r>
      <w:r w:rsidR="007A3470">
        <w:rPr>
          <w:lang w:val="sr-Cyrl-RS"/>
        </w:rPr>
        <w:t xml:space="preserve"> Уз Нацрт закона, објављене су и Полазне основе за припрему овог нацрта закона.</w:t>
      </w:r>
    </w:p>
    <w:p w14:paraId="78C42616" w14:textId="74AB2F6E" w:rsidR="00AF0511" w:rsidRDefault="00B423F5" w:rsidP="00F0351D">
      <w:pPr>
        <w:pStyle w:val="NormalWeb"/>
        <w:jc w:val="both"/>
        <w:rPr>
          <w:lang w:val="sr-Cyrl-RS"/>
        </w:rPr>
      </w:pPr>
      <w:r>
        <w:rPr>
          <w:lang w:val="sr-Cyrl-RS"/>
        </w:rPr>
        <w:t>Истовремено, ово обавештење и позив за коментаре и сугестије у процесу консултација, заједно са Нацртом закона и пропратним документима послат је и мрежи послодаваца који су чланови НАЛЕД-а.</w:t>
      </w:r>
    </w:p>
    <w:p w14:paraId="78A82B42" w14:textId="77777777" w:rsidR="00D77245" w:rsidRPr="00F5712F" w:rsidRDefault="00D77245" w:rsidP="00D77245">
      <w:pPr>
        <w:pStyle w:val="basic-paragraph"/>
        <w:spacing w:before="0" w:beforeAutospacing="0" w:after="0" w:afterAutospacing="0"/>
        <w:jc w:val="both"/>
        <w:rPr>
          <w:b/>
          <w:bCs/>
          <w:color w:val="000000"/>
          <w:lang w:val="sr-Cyrl-RS"/>
        </w:rPr>
      </w:pPr>
      <w:r w:rsidRPr="00F5712F">
        <w:rPr>
          <w:b/>
          <w:bCs/>
          <w:color w:val="000000"/>
          <w:lang w:val="sr-Cyrl-RS"/>
        </w:rPr>
        <w:t>2) 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резултатима, објављене на Порталу „еКонсултације”? Навести линк са Портала „еКонсултације” или неке друге интернет странице преко које су спроведене консултације.</w:t>
      </w:r>
    </w:p>
    <w:p w14:paraId="3E08579F" w14:textId="00D2DDE9" w:rsidR="0025111D" w:rsidRDefault="002061CE" w:rsidP="00AF0511">
      <w:pPr>
        <w:pStyle w:val="NormalWeb"/>
        <w:jc w:val="both"/>
        <w:rPr>
          <w:lang w:val="sr-Cyrl-RS"/>
        </w:rPr>
      </w:pPr>
      <w:r>
        <w:rPr>
          <w:lang w:val="sr-Cyrl-RS"/>
        </w:rPr>
        <w:t>Канцеларија за информационе технологије и електронску управу спровела је јавне консултације у припреми овог нацрта закона у периоду од 26. августа до 11. септембра 2025. У</w:t>
      </w:r>
      <w:r w:rsidRPr="0027784A">
        <w:rPr>
          <w:lang w:val="sr-Cyrl-RS"/>
        </w:rPr>
        <w:t xml:space="preserve"> складу са чланом 77. став 2. Закона о државној управи и чланом </w:t>
      </w:r>
      <w:r>
        <w:rPr>
          <w:lang w:val="sr-Cyrl-RS"/>
        </w:rPr>
        <w:t>32</w:t>
      </w:r>
      <w:r w:rsidRPr="0027784A">
        <w:rPr>
          <w:lang w:val="sr-Cyrl-RS"/>
        </w:rPr>
        <w:t xml:space="preserve">. Закона о планском систему Републике Србије („Службени гласник РСˮ, број 30/18), Kанцеларија за информационе технологије и електронску управу је 26. августа 2025 обавестила јавност да отпочиње израда овог нацрта закона и позвала представнике државних органа и организација, удружења, привредних субјеката, стручне јавности, као и друге заинтересоване стране да се упознају са текстом радне верзије овог нацрта закона и да најкасније до 11. септембра 2025. године дају своје коментаре, сугестије и предлоге. Уз Нацрт закона, </w:t>
      </w:r>
      <w:r w:rsidRPr="00AB5932">
        <w:rPr>
          <w:lang w:val="sr-Cyrl-RS"/>
        </w:rPr>
        <w:t>на портал</w:t>
      </w:r>
      <w:r>
        <w:rPr>
          <w:lang w:val="sr-Cyrl-RS"/>
        </w:rPr>
        <w:t xml:space="preserve">у </w:t>
      </w:r>
      <w:r w:rsidRPr="00AB5932">
        <w:rPr>
          <w:lang w:val="sr-Cyrl-RS"/>
        </w:rPr>
        <w:t>еКонсултације</w:t>
      </w:r>
      <w:r>
        <w:rPr>
          <w:lang w:val="sr-Cyrl-RS"/>
        </w:rPr>
        <w:t xml:space="preserve"> и интернет презентацији Канцеларије </w:t>
      </w:r>
      <w:r w:rsidRPr="0027784A">
        <w:rPr>
          <w:lang w:val="sr-Cyrl-RS"/>
        </w:rPr>
        <w:t>објављене су и Полазне основе за припрему овог нацрта закона.</w:t>
      </w:r>
      <w:r>
        <w:rPr>
          <w:lang w:val="sr-Cyrl-RS"/>
        </w:rPr>
        <w:t xml:space="preserve">(линк са Портала еКонсултације: </w:t>
      </w:r>
      <w:hyperlink r:id="rId12" w:history="1">
        <w:r w:rsidR="0025111D" w:rsidRPr="002C203D">
          <w:rPr>
            <w:rStyle w:val="Hyperlink"/>
            <w:lang w:val="sr-Cyrl-RS"/>
          </w:rPr>
          <w:t>https://ekonsultacije.gov.rs/topicOfDiscussionPage/522/3</w:t>
        </w:r>
      </w:hyperlink>
      <w:r>
        <w:rPr>
          <w:lang w:val="sr-Cyrl-RS"/>
        </w:rPr>
        <w:t>)</w:t>
      </w:r>
    </w:p>
    <w:p w14:paraId="39C8373D" w14:textId="05A77238" w:rsidR="00D77245" w:rsidRDefault="00D77245" w:rsidP="00D77245">
      <w:pPr>
        <w:pStyle w:val="basic-paragraph"/>
        <w:spacing w:before="0" w:beforeAutospacing="0" w:after="0" w:afterAutospacing="0"/>
        <w:jc w:val="both"/>
        <w:rPr>
          <w:b/>
          <w:bCs/>
          <w:color w:val="000000"/>
          <w:lang w:val="sr-Cyrl-RS"/>
        </w:rPr>
      </w:pPr>
      <w:r w:rsidRPr="00F5712F">
        <w:rPr>
          <w:b/>
          <w:bCs/>
          <w:color w:val="000000"/>
          <w:lang w:val="sr-Cyrl-RS"/>
        </w:rPr>
        <w:t>3) Навести циљне групе и заинтересоване стране које су учествовале у консултацијама.</w:t>
      </w:r>
    </w:p>
    <w:p w14:paraId="03D5880B" w14:textId="22449CC6" w:rsidR="00FF7B56" w:rsidRDefault="00FF7B56" w:rsidP="00D77245">
      <w:pPr>
        <w:pStyle w:val="basic-paragraph"/>
        <w:spacing w:before="0" w:beforeAutospacing="0" w:after="0" w:afterAutospacing="0"/>
        <w:jc w:val="both"/>
        <w:rPr>
          <w:b/>
          <w:bCs/>
          <w:color w:val="000000"/>
          <w:lang w:val="sr-Cyrl-RS"/>
        </w:rPr>
      </w:pPr>
    </w:p>
    <w:p w14:paraId="3D3F0DA7" w14:textId="1EBBC496" w:rsidR="00FF7B56" w:rsidRPr="00FF7B56" w:rsidRDefault="00FF7B56" w:rsidP="00D77245">
      <w:pPr>
        <w:pStyle w:val="basic-paragraph"/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У консултацијама су учествовале пословне асоцијације: Привредна комора Србије (ПКС), Унија послодаваца Србије (УПС), Национална алијанса за локални економски развој (НАЛЕД) и Савет страних инвеститора (</w:t>
      </w:r>
      <w:r>
        <w:rPr>
          <w:color w:val="000000"/>
          <w:lang w:val="sr-Latn-RS"/>
        </w:rPr>
        <w:t>FIC)</w:t>
      </w:r>
      <w:r>
        <w:rPr>
          <w:color w:val="000000"/>
          <w:lang w:val="sr-Cyrl-RS"/>
        </w:rPr>
        <w:t>, појединачнии привредни субјекти и представници стручне и опште јавности.</w:t>
      </w:r>
    </w:p>
    <w:p w14:paraId="2FFE31A7" w14:textId="77777777" w:rsidR="00FF7B56" w:rsidRPr="00FF7B56" w:rsidRDefault="00FF7B56" w:rsidP="00D77245">
      <w:pPr>
        <w:pStyle w:val="basic-paragraph"/>
        <w:spacing w:before="0" w:beforeAutospacing="0" w:after="0" w:afterAutospacing="0"/>
        <w:jc w:val="both"/>
        <w:rPr>
          <w:color w:val="000000"/>
          <w:lang w:val="sr-Cyrl-RS"/>
        </w:rPr>
      </w:pPr>
    </w:p>
    <w:p w14:paraId="5DC54EFF" w14:textId="4175CB7D" w:rsidR="00D77245" w:rsidRPr="00F5712F" w:rsidRDefault="00D77245" w:rsidP="00D77245">
      <w:pPr>
        <w:pStyle w:val="basic-paragraph"/>
        <w:spacing w:before="0" w:beforeAutospacing="0" w:after="0" w:afterAutospacing="0"/>
        <w:jc w:val="both"/>
        <w:rPr>
          <w:b/>
          <w:bCs/>
          <w:color w:val="000000"/>
          <w:lang w:val="sr-Cyrl-RS"/>
        </w:rPr>
      </w:pPr>
      <w:r w:rsidRPr="00F5712F">
        <w:rPr>
          <w:b/>
          <w:bCs/>
          <w:color w:val="000000"/>
          <w:lang w:val="sr-Cyrl-RS"/>
        </w:rPr>
        <w:t>4) Да ли су у консултације укључени представници микро, малих и средњих привредних субјеката из регулисане области и осетљиве друштвене групе на које пропис утиче, представници удружења која се баве заштитом животне средине, као и представници удружења који се баве родном равноправношћу?</w:t>
      </w:r>
    </w:p>
    <w:p w14:paraId="303D90EF" w14:textId="77777777" w:rsidR="00FF7B56" w:rsidRDefault="00FF7B56" w:rsidP="00D77245">
      <w:pPr>
        <w:pStyle w:val="basic-paragraph"/>
        <w:spacing w:before="0" w:beforeAutospacing="0" w:after="0" w:afterAutospacing="0"/>
        <w:jc w:val="both"/>
        <w:rPr>
          <w:b/>
          <w:bCs/>
          <w:color w:val="000000"/>
          <w:lang w:val="sr-Cyrl-RS"/>
        </w:rPr>
      </w:pPr>
    </w:p>
    <w:p w14:paraId="112163BB" w14:textId="400D33CF" w:rsidR="00BD0B1A" w:rsidRPr="00FF7B56" w:rsidRDefault="00BD0B1A" w:rsidP="00BD0B1A">
      <w:pPr>
        <w:pStyle w:val="basic-paragraph"/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М</w:t>
      </w:r>
      <w:r w:rsidRPr="00BD0B1A">
        <w:rPr>
          <w:color w:val="000000"/>
          <w:lang w:val="sr-Cyrl-RS"/>
        </w:rPr>
        <w:t>икро, мали и средњи привредни субјек</w:t>
      </w:r>
      <w:r>
        <w:rPr>
          <w:color w:val="000000"/>
          <w:lang w:val="sr-Cyrl-RS"/>
        </w:rPr>
        <w:t>ти су били заступљени кроз пословне асоцијације, као и кроз појединачне привредне субекте из ове категорије. Све заинтересоване стране су узеле учешће у јавним консултацијама.</w:t>
      </w:r>
    </w:p>
    <w:p w14:paraId="07DE46DC" w14:textId="77777777" w:rsidR="00FF7B56" w:rsidRDefault="00FF7B56" w:rsidP="00D77245">
      <w:pPr>
        <w:pStyle w:val="basic-paragraph"/>
        <w:spacing w:before="0" w:beforeAutospacing="0" w:after="0" w:afterAutospacing="0"/>
        <w:jc w:val="both"/>
        <w:rPr>
          <w:b/>
          <w:bCs/>
          <w:color w:val="000000"/>
          <w:lang w:val="sr-Cyrl-RS"/>
        </w:rPr>
      </w:pPr>
    </w:p>
    <w:p w14:paraId="10F05FC9" w14:textId="73D32FD0" w:rsidR="00D77245" w:rsidRPr="00A44921" w:rsidRDefault="00D77245" w:rsidP="00D77245">
      <w:pPr>
        <w:pStyle w:val="basic-paragraph"/>
        <w:spacing w:before="0" w:beforeAutospacing="0" w:after="0" w:afterAutospacing="0"/>
        <w:jc w:val="both"/>
        <w:rPr>
          <w:b/>
          <w:bCs/>
          <w:color w:val="000000"/>
          <w:lang w:val="sr-Cyrl-RS"/>
        </w:rPr>
      </w:pPr>
      <w:r w:rsidRPr="00272D8B">
        <w:rPr>
          <w:b/>
          <w:bCs/>
          <w:color w:val="000000"/>
          <w:lang w:val="sr-Cyrl-RS"/>
        </w:rPr>
        <w:t>5) Наведите примедбе, сугестије и коментаре на текст прописа, достављене у току консултација које су усвојене.</w:t>
      </w:r>
    </w:p>
    <w:p w14:paraId="13CBB76B" w14:textId="77777777" w:rsidR="00BD0B1A" w:rsidRDefault="00BD0B1A" w:rsidP="00D77245">
      <w:pPr>
        <w:pStyle w:val="basic-paragraph"/>
        <w:spacing w:before="0" w:beforeAutospacing="0" w:after="0" w:afterAutospacing="0"/>
        <w:jc w:val="both"/>
        <w:rPr>
          <w:b/>
          <w:bCs/>
          <w:color w:val="000000"/>
          <w:lang w:val="sr-Cyrl-RS"/>
        </w:rPr>
      </w:pPr>
    </w:p>
    <w:p w14:paraId="3501262A" w14:textId="454311E7" w:rsidR="00BD0B1A" w:rsidRDefault="00BD0B1A" w:rsidP="00D77245">
      <w:pPr>
        <w:pStyle w:val="basic-paragraph"/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Један део примедаба је био правно-техничке/редакцијске природе и ове сугестије су усвојене. Такође, усвојени су предлози који су се односили на употпуњавање одредбе којом се уређује функционалност система у виду омогућавања подношења приговора и захтева од стране послодавца, тако што су поједина</w:t>
      </w:r>
      <w:r w:rsidR="003235BC">
        <w:rPr>
          <w:color w:val="000000"/>
          <w:lang w:val="sr-Cyrl-RS"/>
        </w:rPr>
        <w:t>ч</w:t>
      </w:r>
      <w:r>
        <w:rPr>
          <w:color w:val="000000"/>
          <w:lang w:val="sr-Cyrl-RS"/>
        </w:rPr>
        <w:t>но наведени приговори и захтеви које послодавац може да поднесе у складу са одредбама Закона о здравственом осигурању</w:t>
      </w:r>
      <w:r w:rsidR="003235BC">
        <w:rPr>
          <w:color w:val="000000"/>
          <w:lang w:val="sr-Cyrl-RS"/>
        </w:rPr>
        <w:t xml:space="preserve">, као и </w:t>
      </w:r>
      <w:r w:rsidR="003235BC" w:rsidRPr="003235BC">
        <w:rPr>
          <w:color w:val="000000"/>
          <w:lang w:val="sr-Cyrl-RS"/>
        </w:rPr>
        <w:t>стручн</w:t>
      </w:r>
      <w:r w:rsidR="003235BC">
        <w:rPr>
          <w:color w:val="000000"/>
          <w:lang w:val="sr-Cyrl-RS"/>
        </w:rPr>
        <w:t>а</w:t>
      </w:r>
      <w:r w:rsidR="003235BC" w:rsidRPr="003235BC">
        <w:rPr>
          <w:color w:val="000000"/>
          <w:lang w:val="sr-Cyrl-RS"/>
        </w:rPr>
        <w:t xml:space="preserve"> тела и лица, која у складу са </w:t>
      </w:r>
      <w:r w:rsidR="003235BC">
        <w:rPr>
          <w:color w:val="000000"/>
          <w:lang w:val="sr-Cyrl-RS"/>
        </w:rPr>
        <w:t xml:space="preserve">тим </w:t>
      </w:r>
      <w:r w:rsidR="003235BC" w:rsidRPr="003235BC">
        <w:rPr>
          <w:color w:val="000000"/>
          <w:lang w:val="sr-Cyrl-RS"/>
        </w:rPr>
        <w:t>законом одлучују по неком од приговора, односно захтева</w:t>
      </w:r>
      <w:r w:rsidR="003235BC">
        <w:rPr>
          <w:color w:val="000000"/>
          <w:lang w:val="sr-Cyrl-RS"/>
        </w:rPr>
        <w:t xml:space="preserve"> и дају оцену привремене спречености за рад.</w:t>
      </w:r>
    </w:p>
    <w:p w14:paraId="39129180" w14:textId="1864B963" w:rsidR="00BF6A4F" w:rsidRDefault="00BF6A4F" w:rsidP="00D77245">
      <w:pPr>
        <w:pStyle w:val="basic-paragraph"/>
        <w:spacing w:before="0" w:beforeAutospacing="0" w:after="0" w:afterAutospacing="0"/>
        <w:jc w:val="both"/>
        <w:rPr>
          <w:color w:val="000000"/>
          <w:lang w:val="sr-Cyrl-RS"/>
        </w:rPr>
      </w:pPr>
    </w:p>
    <w:p w14:paraId="16FA8104" w14:textId="469AE523" w:rsidR="009A7E18" w:rsidRDefault="009A7E18" w:rsidP="00D77245">
      <w:pPr>
        <w:pStyle w:val="basic-paragraph"/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На основу предлога Министарства унутрашњих послова, Нацрт закоан допуњен је одредбом да </w:t>
      </w:r>
      <w:r w:rsidR="002C4ACC" w:rsidRPr="002C4ACC">
        <w:rPr>
          <w:color w:val="000000"/>
          <w:lang w:val="sr-Cyrl-RS"/>
        </w:rPr>
        <w:t xml:space="preserve">садржај електронског обрасца потврде и дознаке из члана 5. овог закона за запослене у </w:t>
      </w:r>
      <w:r w:rsidRPr="009A7E18">
        <w:rPr>
          <w:color w:val="000000"/>
          <w:lang w:val="sr-Cyrl-RS"/>
        </w:rPr>
        <w:t>министарству надлежном за унутрашње послове споразумно утврђују министри надлежни за послове здравља и унутрашње послове директор органа државне управе надлежног за пројектовање, усклађивање, развој и функционисање система електронске управе.</w:t>
      </w:r>
    </w:p>
    <w:p w14:paraId="6B28D54B" w14:textId="6046CB84" w:rsidR="00BF6A4F" w:rsidRPr="00BD0B1A" w:rsidRDefault="00BF6A4F" w:rsidP="00D77245">
      <w:pPr>
        <w:pStyle w:val="basic-paragraph"/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Поред тога, </w:t>
      </w:r>
      <w:r>
        <w:rPr>
          <w:lang w:val="sr-Cyrl-RS"/>
        </w:rPr>
        <w:t>у складу са примедбама, в</w:t>
      </w:r>
      <w:r w:rsidRPr="006215D2">
        <w:rPr>
          <w:lang w:val="sr-Cyrl-RS"/>
        </w:rPr>
        <w:t>исина новчане казне за прекршај предвиђена овим нацртом закона ће бити коригована на износ у распону од 50.000 до 150.000 динара</w:t>
      </w:r>
      <w:r>
        <w:rPr>
          <w:lang w:val="sr-Cyrl-RS"/>
        </w:rPr>
        <w:t xml:space="preserve"> за послодавце – правна лица и у распону </w:t>
      </w:r>
      <w:r w:rsidRPr="00536752">
        <w:rPr>
          <w:lang w:val="sr-Cyrl-RS"/>
        </w:rPr>
        <w:t>од 10.000 до 50.000 динара</w:t>
      </w:r>
      <w:r>
        <w:rPr>
          <w:lang w:val="sr-Cyrl-RS"/>
        </w:rPr>
        <w:t xml:space="preserve"> за предузетнике, који су издвојени као посебни субјекти прекршајне одговорности, у складу са Законом о прекршајима</w:t>
      </w:r>
      <w:r w:rsidRPr="006215D2">
        <w:rPr>
          <w:lang w:val="sr-Cyrl-RS"/>
        </w:rPr>
        <w:t xml:space="preserve">. </w:t>
      </w:r>
      <w:r>
        <w:rPr>
          <w:lang w:val="sr-Cyrl-RS"/>
        </w:rPr>
        <w:t>Смањењем висине прописаних казни</w:t>
      </w:r>
      <w:r w:rsidRPr="006215D2">
        <w:rPr>
          <w:lang w:val="sr-Cyrl-RS"/>
        </w:rPr>
        <w:t xml:space="preserve"> ће се, поред номиналног смањења запрећене казне, створити услови за примену члана 42. став 3. Закона о инспекцијском надзору, којим </w:t>
      </w:r>
      <w:r>
        <w:rPr>
          <w:lang w:val="sr-Cyrl-RS"/>
        </w:rPr>
        <w:t xml:space="preserve">су прописани услови под коијма инспектор неће поднети захтев за покретање прекршајног поступка, а у које спада и тај да </w:t>
      </w:r>
      <w:r w:rsidRPr="00605CB8">
        <w:rPr>
          <w:lang w:val="sr-Cyrl-RS"/>
        </w:rPr>
        <w:t>највиши износ запрећене казне за прекршај не прелази 200.000 динара</w:t>
      </w:r>
      <w:r>
        <w:rPr>
          <w:lang w:val="sr-Cyrl-RS"/>
        </w:rPr>
        <w:t xml:space="preserve">. </w:t>
      </w:r>
    </w:p>
    <w:p w14:paraId="19A8B58F" w14:textId="77777777" w:rsidR="00BD0B1A" w:rsidRDefault="00BD0B1A" w:rsidP="00D77245">
      <w:pPr>
        <w:pStyle w:val="basic-paragraph"/>
        <w:spacing w:before="0" w:beforeAutospacing="0" w:after="0" w:afterAutospacing="0"/>
        <w:jc w:val="both"/>
        <w:rPr>
          <w:b/>
          <w:bCs/>
          <w:color w:val="000000"/>
          <w:lang w:val="sr-Cyrl-RS"/>
        </w:rPr>
      </w:pPr>
    </w:p>
    <w:p w14:paraId="439E756C" w14:textId="0948480F" w:rsidR="00D77245" w:rsidRPr="00272D8B" w:rsidRDefault="00D77245" w:rsidP="00D77245">
      <w:pPr>
        <w:pStyle w:val="basic-paragraph"/>
        <w:spacing w:before="0" w:beforeAutospacing="0" w:after="0" w:afterAutospacing="0"/>
        <w:jc w:val="both"/>
        <w:rPr>
          <w:b/>
          <w:bCs/>
          <w:color w:val="000000"/>
          <w:lang w:val="sr-Cyrl-RS"/>
        </w:rPr>
      </w:pPr>
      <w:r w:rsidRPr="00272D8B">
        <w:rPr>
          <w:b/>
          <w:bCs/>
          <w:color w:val="000000"/>
          <w:lang w:val="sr-Cyrl-RS"/>
        </w:rPr>
        <w:t>6) Наведите примедбе, сугестије и коментаре на текст прописа, достављене у току консултација које нису усвојене и објаснити разлоге за њихово неприхватање.</w:t>
      </w:r>
    </w:p>
    <w:p w14:paraId="459A38F5" w14:textId="7A078E38" w:rsidR="009A7E18" w:rsidRDefault="00BF6A4F" w:rsidP="00F0351D">
      <w:pPr>
        <w:pStyle w:val="NormalWeb"/>
        <w:jc w:val="both"/>
        <w:rPr>
          <w:lang w:val="sr-Cyrl-RS"/>
        </w:rPr>
      </w:pPr>
      <w:r>
        <w:rPr>
          <w:lang w:val="sr-Cyrl-RS"/>
        </w:rPr>
        <w:t>Већина к</w:t>
      </w:r>
      <w:r w:rsidRPr="00BF6A4F">
        <w:rPr>
          <w:lang w:val="sr-Cyrl-RS"/>
        </w:rPr>
        <w:t>оментар</w:t>
      </w:r>
      <w:r>
        <w:rPr>
          <w:lang w:val="sr-Cyrl-RS"/>
        </w:rPr>
        <w:t xml:space="preserve">а, </w:t>
      </w:r>
      <w:r w:rsidRPr="00BF6A4F">
        <w:rPr>
          <w:lang w:val="sr-Cyrl-RS"/>
        </w:rPr>
        <w:t>питањ</w:t>
      </w:r>
      <w:r>
        <w:rPr>
          <w:lang w:val="sr-Cyrl-RS"/>
        </w:rPr>
        <w:t xml:space="preserve">а и </w:t>
      </w:r>
      <w:r w:rsidRPr="00BF6A4F">
        <w:rPr>
          <w:lang w:val="sr-Cyrl-RS"/>
        </w:rPr>
        <w:t>предлог</w:t>
      </w:r>
      <w:r>
        <w:rPr>
          <w:lang w:val="sr-Cyrl-RS"/>
        </w:rPr>
        <w:t>а примљених током консултација су питања о томе како ће технички функционисати софтверско решење „е-Боловање – Послодавац</w:t>
      </w:r>
      <w:r w:rsidR="0044794D" w:rsidRPr="0044794D">
        <w:rPr>
          <w:bCs/>
          <w:lang w:val="sr-Cyrl-CS"/>
        </w:rPr>
        <w:t>”</w:t>
      </w:r>
      <w:r w:rsidR="00987E35">
        <w:rPr>
          <w:lang w:val="sr-Cyrl-RS"/>
        </w:rPr>
        <w:t>, када ће почети са применом и које имплемнтационе мере ће бити предузете како би се осигурало несметано и квалитетно функционисање новог система</w:t>
      </w:r>
      <w:r>
        <w:rPr>
          <w:lang w:val="sr-Cyrl-RS"/>
        </w:rPr>
        <w:t>. Друга по броју група к</w:t>
      </w:r>
      <w:r w:rsidRPr="00BF6A4F">
        <w:rPr>
          <w:lang w:val="sr-Cyrl-RS"/>
        </w:rPr>
        <w:t>оментар</w:t>
      </w:r>
      <w:r>
        <w:rPr>
          <w:lang w:val="sr-Cyrl-RS"/>
        </w:rPr>
        <w:t xml:space="preserve">а, </w:t>
      </w:r>
      <w:r w:rsidRPr="00BF6A4F">
        <w:rPr>
          <w:lang w:val="sr-Cyrl-RS"/>
        </w:rPr>
        <w:t>питањ</w:t>
      </w:r>
      <w:r>
        <w:rPr>
          <w:lang w:val="sr-Cyrl-RS"/>
        </w:rPr>
        <w:t xml:space="preserve">а и </w:t>
      </w:r>
      <w:r w:rsidRPr="00BF6A4F">
        <w:rPr>
          <w:lang w:val="sr-Cyrl-RS"/>
        </w:rPr>
        <w:t>предлог</w:t>
      </w:r>
      <w:r>
        <w:rPr>
          <w:lang w:val="sr-Cyrl-RS"/>
        </w:rPr>
        <w:t>а</w:t>
      </w:r>
      <w:r w:rsidR="00F2663E">
        <w:rPr>
          <w:lang w:val="sr-Cyrl-RS"/>
        </w:rPr>
        <w:t xml:space="preserve"> односила се на недоумице у примени Закона о здравственом осигурању и пратећих подзаконских прописа, као и Закона о здравственој заштити и подзаконских прописа. Највећи део ове групе питања и коментара </w:t>
      </w:r>
      <w:r w:rsidR="00987E35">
        <w:rPr>
          <w:lang w:val="sr-Cyrl-RS"/>
        </w:rPr>
        <w:t>тицао</w:t>
      </w:r>
      <w:r w:rsidR="009A7E18">
        <w:rPr>
          <w:lang w:val="sr-Cyrl-RS"/>
        </w:rPr>
        <w:t xml:space="preserve"> се</w:t>
      </w:r>
      <w:r w:rsidR="00F2663E">
        <w:rPr>
          <w:lang w:val="sr-Cyrl-RS"/>
        </w:rPr>
        <w:t xml:space="preserve"> услов</w:t>
      </w:r>
      <w:r w:rsidR="00987E35">
        <w:rPr>
          <w:lang w:val="sr-Cyrl-RS"/>
        </w:rPr>
        <w:t>а</w:t>
      </w:r>
      <w:r w:rsidR="00F2663E">
        <w:rPr>
          <w:lang w:val="sr-Cyrl-RS"/>
        </w:rPr>
        <w:t>, роков</w:t>
      </w:r>
      <w:r w:rsidR="00987E35">
        <w:rPr>
          <w:lang w:val="sr-Cyrl-RS"/>
        </w:rPr>
        <w:t>а</w:t>
      </w:r>
      <w:r w:rsidR="00F2663E">
        <w:rPr>
          <w:lang w:val="sr-Cyrl-RS"/>
        </w:rPr>
        <w:t xml:space="preserve"> и поступ</w:t>
      </w:r>
      <w:r w:rsidR="009A7E18">
        <w:rPr>
          <w:lang w:val="sr-Cyrl-RS"/>
        </w:rPr>
        <w:t>а</w:t>
      </w:r>
      <w:r w:rsidR="00987E35">
        <w:rPr>
          <w:lang w:val="sr-Cyrl-RS"/>
        </w:rPr>
        <w:t>ка</w:t>
      </w:r>
      <w:r w:rsidR="00F2663E">
        <w:rPr>
          <w:lang w:val="sr-Cyrl-RS"/>
        </w:rPr>
        <w:t xml:space="preserve"> подношења захтева и исплате накнаде зараде, као и рефундације исплаћене накнаде зараде</w:t>
      </w:r>
      <w:r w:rsidR="00987E35">
        <w:rPr>
          <w:lang w:val="sr-Cyrl-RS"/>
        </w:rPr>
        <w:t xml:space="preserve"> од стране РФЗО</w:t>
      </w:r>
      <w:r w:rsidR="00F2663E">
        <w:rPr>
          <w:lang w:val="sr-Cyrl-RS"/>
        </w:rPr>
        <w:t xml:space="preserve">. </w:t>
      </w:r>
      <w:r w:rsidR="00987E35">
        <w:rPr>
          <w:lang w:val="sr-Cyrl-RS"/>
        </w:rPr>
        <w:t>Нормативни п</w:t>
      </w:r>
      <w:r w:rsidR="00F2663E">
        <w:rPr>
          <w:lang w:val="sr-Cyrl-RS"/>
        </w:rPr>
        <w:t xml:space="preserve">редлози из ове групе нису могли бити прихваћени, јер се не односе на предмет </w:t>
      </w:r>
      <w:r w:rsidR="00987E35">
        <w:rPr>
          <w:lang w:val="sr-Cyrl-RS"/>
        </w:rPr>
        <w:t xml:space="preserve">уређења </w:t>
      </w:r>
      <w:r w:rsidR="00F2663E">
        <w:rPr>
          <w:lang w:val="sr-Cyrl-RS"/>
        </w:rPr>
        <w:t xml:space="preserve">овог нацрта закона, него </w:t>
      </w:r>
      <w:r w:rsidR="00987E35">
        <w:rPr>
          <w:lang w:val="sr-Cyrl-RS"/>
        </w:rPr>
        <w:t xml:space="preserve">на предмет уређења </w:t>
      </w:r>
      <w:r w:rsidR="00F2663E">
        <w:rPr>
          <w:lang w:val="sr-Cyrl-RS"/>
        </w:rPr>
        <w:t xml:space="preserve">Закона о здравственом осигурању, као и (у мањем броју) Закона о здравственој заштити. </w:t>
      </w:r>
    </w:p>
    <w:p w14:paraId="5845B2C2" w14:textId="6A83F89B" w:rsidR="00FA49B8" w:rsidRDefault="00F90D99" w:rsidP="00F0351D">
      <w:pPr>
        <w:pStyle w:val="NormalWeb"/>
        <w:jc w:val="both"/>
        <w:rPr>
          <w:lang w:val="sr-Cyrl-RS"/>
        </w:rPr>
      </w:pPr>
      <w:r>
        <w:rPr>
          <w:lang w:val="sr-Cyrl-RS"/>
        </w:rPr>
        <w:t>Такође, предлози за уређење заштите података о личности у овом закону нису могли бити прихваћени</w:t>
      </w:r>
      <w:r w:rsidR="00CA6977">
        <w:rPr>
          <w:lang w:val="sr-Cyrl-RS"/>
        </w:rPr>
        <w:t xml:space="preserve">, будући да је </w:t>
      </w:r>
      <w:r w:rsidR="00CA6977" w:rsidRPr="00CA6977">
        <w:rPr>
          <w:lang w:val="sr-Cyrl-RS"/>
        </w:rPr>
        <w:t>заштит</w:t>
      </w:r>
      <w:r w:rsidR="00CA6977">
        <w:rPr>
          <w:lang w:val="sr-Cyrl-RS"/>
        </w:rPr>
        <w:t>а</w:t>
      </w:r>
      <w:r w:rsidR="00CA6977" w:rsidRPr="00CA6977">
        <w:rPr>
          <w:lang w:val="sr-Cyrl-RS"/>
        </w:rPr>
        <w:t xml:space="preserve"> података о личности свеобухватно уређен</w:t>
      </w:r>
      <w:r w:rsidR="00CA6977">
        <w:rPr>
          <w:lang w:val="sr-Cyrl-RS"/>
        </w:rPr>
        <w:t>а</w:t>
      </w:r>
      <w:r w:rsidR="00CA6977" w:rsidRPr="00CA6977">
        <w:rPr>
          <w:lang w:val="sr-Cyrl-RS"/>
        </w:rPr>
        <w:t xml:space="preserve"> другим законима који се примењују на рад у овом софтверском решењу</w:t>
      </w:r>
      <w:r w:rsidR="00CA6977">
        <w:rPr>
          <w:lang w:val="sr-Cyrl-RS"/>
        </w:rPr>
        <w:t xml:space="preserve"> – Закон</w:t>
      </w:r>
      <w:r w:rsidR="009A7E18">
        <w:rPr>
          <w:lang w:val="sr-Cyrl-RS"/>
        </w:rPr>
        <w:t>ом</w:t>
      </w:r>
      <w:r w:rsidR="00CA6977">
        <w:rPr>
          <w:lang w:val="sr-Cyrl-RS"/>
        </w:rPr>
        <w:t xml:space="preserve"> о правима пацијената, Закон</w:t>
      </w:r>
      <w:r w:rsidR="009A7E18">
        <w:rPr>
          <w:lang w:val="sr-Cyrl-RS"/>
        </w:rPr>
        <w:t>ом</w:t>
      </w:r>
      <w:r w:rsidR="00CA6977">
        <w:rPr>
          <w:lang w:val="sr-Cyrl-RS"/>
        </w:rPr>
        <w:t xml:space="preserve"> о заштити података о личности и Закон</w:t>
      </w:r>
      <w:r w:rsidR="009A7E18">
        <w:rPr>
          <w:lang w:val="sr-Cyrl-RS"/>
        </w:rPr>
        <w:t>ом</w:t>
      </w:r>
      <w:r w:rsidR="00CA6977">
        <w:rPr>
          <w:lang w:val="sr-Cyrl-RS"/>
        </w:rPr>
        <w:t xml:space="preserve"> о здравственој заштити.</w:t>
      </w:r>
      <w:r w:rsidR="00987E35">
        <w:rPr>
          <w:lang w:val="sr-Cyrl-RS"/>
        </w:rPr>
        <w:t xml:space="preserve"> Исто се односи и на уређење информационе /сајбер) безбедности, будући да је та област предмет уређења Закона о електронској управи и матичног Закона о информационој безбедности</w:t>
      </w:r>
      <w:r w:rsidR="009A7E18">
        <w:rPr>
          <w:lang w:val="sr-Cyrl-RS"/>
        </w:rPr>
        <w:t xml:space="preserve"> (Предлог новог закона о информационој безбедности, који је усклађен са ЕУ директивом </w:t>
      </w:r>
      <w:r w:rsidR="009A7E18">
        <w:rPr>
          <w:lang w:val="sr-Latn-RS"/>
        </w:rPr>
        <w:t xml:space="preserve">NIS2, </w:t>
      </w:r>
      <w:r w:rsidR="009A7E18">
        <w:rPr>
          <w:lang w:val="sr-Cyrl-RS"/>
        </w:rPr>
        <w:t>налази се у скупштинској процедури)</w:t>
      </w:r>
      <w:r w:rsidR="00987E35">
        <w:rPr>
          <w:lang w:val="sr-Cyrl-RS"/>
        </w:rPr>
        <w:t>, као и прописа донетих ради извршавања ових закона</w:t>
      </w:r>
    </w:p>
    <w:p w14:paraId="2C65994D" w14:textId="0BDFF965" w:rsidR="00CA6977" w:rsidRPr="00987E35" w:rsidRDefault="00CA6977" w:rsidP="00F0351D">
      <w:pPr>
        <w:pStyle w:val="NormalWeb"/>
        <w:jc w:val="both"/>
        <w:rPr>
          <w:lang w:val="sr-Cyrl-RS"/>
        </w:rPr>
      </w:pPr>
      <w:r>
        <w:rPr>
          <w:lang w:val="sr-Cyrl-RS"/>
        </w:rPr>
        <w:t>Сви к</w:t>
      </w:r>
      <w:r w:rsidRPr="00BF6A4F">
        <w:rPr>
          <w:lang w:val="sr-Cyrl-RS"/>
        </w:rPr>
        <w:t>оментар</w:t>
      </w:r>
      <w:r>
        <w:rPr>
          <w:lang w:val="sr-Cyrl-RS"/>
        </w:rPr>
        <w:t xml:space="preserve">и, </w:t>
      </w:r>
      <w:r w:rsidRPr="00BF6A4F">
        <w:rPr>
          <w:lang w:val="sr-Cyrl-RS"/>
        </w:rPr>
        <w:t>питањ</w:t>
      </w:r>
      <w:r>
        <w:rPr>
          <w:lang w:val="sr-Cyrl-RS"/>
        </w:rPr>
        <w:t xml:space="preserve">а и </w:t>
      </w:r>
      <w:r w:rsidRPr="00BF6A4F">
        <w:rPr>
          <w:lang w:val="sr-Cyrl-RS"/>
        </w:rPr>
        <w:t>предло</w:t>
      </w:r>
      <w:r>
        <w:rPr>
          <w:lang w:val="sr-Cyrl-RS"/>
        </w:rPr>
        <w:t xml:space="preserve">зи </w:t>
      </w:r>
      <w:r w:rsidR="00987E35">
        <w:rPr>
          <w:lang w:val="sr-Cyrl-RS"/>
        </w:rPr>
        <w:t>поднет</w:t>
      </w:r>
      <w:r>
        <w:rPr>
          <w:lang w:val="sr-Cyrl-RS"/>
        </w:rPr>
        <w:t xml:space="preserve">и писаним </w:t>
      </w:r>
      <w:r w:rsidR="00987E35">
        <w:rPr>
          <w:lang w:val="sr-Cyrl-RS"/>
        </w:rPr>
        <w:t xml:space="preserve">путем током </w:t>
      </w:r>
      <w:r w:rsidR="00FD4D09">
        <w:rPr>
          <w:lang w:val="sr-Cyrl-RS"/>
        </w:rPr>
        <w:t xml:space="preserve">јавних консултација и јавне расправе </w:t>
      </w:r>
      <w:r w:rsidR="00987E35">
        <w:rPr>
          <w:lang w:val="sr-Cyrl-RS"/>
        </w:rPr>
        <w:t>или</w:t>
      </w:r>
      <w:r>
        <w:rPr>
          <w:lang w:val="sr-Cyrl-RS"/>
        </w:rPr>
        <w:t xml:space="preserve"> усмен</w:t>
      </w:r>
      <w:r w:rsidR="00987E35">
        <w:rPr>
          <w:lang w:val="sr-Cyrl-RS"/>
        </w:rPr>
        <w:t>о из</w:t>
      </w:r>
      <w:r w:rsidR="00FD4D09">
        <w:rPr>
          <w:lang w:val="sr-Cyrl-RS"/>
        </w:rPr>
        <w:t>н</w:t>
      </w:r>
      <w:r w:rsidR="00987E35">
        <w:rPr>
          <w:lang w:val="sr-Cyrl-RS"/>
        </w:rPr>
        <w:t>ети на јавној расправи</w:t>
      </w:r>
      <w:r>
        <w:rPr>
          <w:lang w:val="sr-Cyrl-RS"/>
        </w:rPr>
        <w:t xml:space="preserve"> су </w:t>
      </w:r>
      <w:r w:rsidR="00FD4D09">
        <w:rPr>
          <w:lang w:val="sr-Cyrl-RS"/>
        </w:rPr>
        <w:t xml:space="preserve">евидентирани, </w:t>
      </w:r>
      <w:r>
        <w:rPr>
          <w:lang w:val="sr-Cyrl-RS"/>
        </w:rPr>
        <w:t xml:space="preserve">појединачно обрађени и </w:t>
      </w:r>
      <w:r w:rsidR="00FD4D09">
        <w:rPr>
          <w:lang w:val="sr-Cyrl-RS"/>
        </w:rPr>
        <w:t xml:space="preserve">на њих су </w:t>
      </w:r>
      <w:r>
        <w:rPr>
          <w:lang w:val="sr-Cyrl-RS"/>
        </w:rPr>
        <w:t>дати су по</w:t>
      </w:r>
      <w:r w:rsidR="00FD4D09">
        <w:rPr>
          <w:lang w:val="sr-Cyrl-RS"/>
        </w:rPr>
        <w:t>ј</w:t>
      </w:r>
      <w:r>
        <w:rPr>
          <w:lang w:val="sr-Cyrl-RS"/>
        </w:rPr>
        <w:t>единачни одговори и објашњења, који су унети у Извештај о јавној расправи и објављени на интернет страници. Одговори на питања ће послужити за припрему документа о питањима и одговорима у вези са функционисањем софтверског решења „е-Боловање – Послодавац</w:t>
      </w:r>
      <w:r w:rsidR="0065487D" w:rsidRPr="0065487D">
        <w:rPr>
          <w:bCs/>
          <w:lang w:val="sr-Cyrl-CS"/>
        </w:rPr>
        <w:t>”</w:t>
      </w:r>
      <w:r w:rsidR="00A6558F">
        <w:rPr>
          <w:lang w:val="sr-Cyrl-RS"/>
        </w:rPr>
        <w:t>, као и за припрему и спровођење предстојећих обука о коришћењу софтверског решења које је предмет уређења овог нацрта закона</w:t>
      </w:r>
      <w:r>
        <w:rPr>
          <w:lang w:val="sr-Cyrl-RS"/>
        </w:rPr>
        <w:t>.</w:t>
      </w:r>
    </w:p>
    <w:sectPr w:rsidR="00CA6977" w:rsidRPr="00987E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B624F" w14:textId="77777777" w:rsidR="004B10FA" w:rsidRDefault="004B10FA" w:rsidP="00171716">
      <w:pPr>
        <w:spacing w:after="0" w:line="240" w:lineRule="auto"/>
      </w:pPr>
      <w:r>
        <w:separator/>
      </w:r>
    </w:p>
  </w:endnote>
  <w:endnote w:type="continuationSeparator" w:id="0">
    <w:p w14:paraId="01D9E8B9" w14:textId="77777777" w:rsidR="004B10FA" w:rsidRDefault="004B10FA" w:rsidP="00171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F4074" w14:textId="75482D1F" w:rsidR="00171716" w:rsidRDefault="00171716">
    <w:pPr>
      <w:pStyle w:val="Footer"/>
      <w:jc w:val="right"/>
    </w:pPr>
  </w:p>
  <w:p w14:paraId="1E72527A" w14:textId="77777777" w:rsidR="00171716" w:rsidRDefault="001717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02B20" w14:textId="77777777" w:rsidR="004B10FA" w:rsidRDefault="004B10FA" w:rsidP="00171716">
      <w:pPr>
        <w:spacing w:after="0" w:line="240" w:lineRule="auto"/>
      </w:pPr>
      <w:r>
        <w:separator/>
      </w:r>
    </w:p>
  </w:footnote>
  <w:footnote w:type="continuationSeparator" w:id="0">
    <w:p w14:paraId="32188CBC" w14:textId="77777777" w:rsidR="004B10FA" w:rsidRDefault="004B10FA" w:rsidP="00171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7735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5B42017" w14:textId="53897084" w:rsidR="009A654F" w:rsidRDefault="009A654F">
        <w:pPr>
          <w:pStyle w:val="Header"/>
          <w:jc w:val="center"/>
        </w:pPr>
        <w:r w:rsidRPr="00DE00F6">
          <w:rPr>
            <w:rFonts w:ascii="Times New Roman" w:hAnsi="Times New Roman" w:cs="Times New Roman"/>
          </w:rPr>
          <w:fldChar w:fldCharType="begin"/>
        </w:r>
        <w:r w:rsidRPr="00DE00F6">
          <w:rPr>
            <w:rFonts w:ascii="Times New Roman" w:hAnsi="Times New Roman" w:cs="Times New Roman"/>
          </w:rPr>
          <w:instrText xml:space="preserve"> PAGE   \* MERGEFORMAT </w:instrText>
        </w:r>
        <w:r w:rsidRPr="00DE00F6">
          <w:rPr>
            <w:rFonts w:ascii="Times New Roman" w:hAnsi="Times New Roman" w:cs="Times New Roman"/>
          </w:rPr>
          <w:fldChar w:fldCharType="separate"/>
        </w:r>
        <w:r w:rsidR="00F4373D">
          <w:rPr>
            <w:rFonts w:ascii="Times New Roman" w:hAnsi="Times New Roman" w:cs="Times New Roman"/>
            <w:noProof/>
          </w:rPr>
          <w:t>21</w:t>
        </w:r>
        <w:r w:rsidRPr="00DE00F6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80E3DB1" w14:textId="77777777" w:rsidR="009A654F" w:rsidRDefault="009A65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C1EA9"/>
    <w:multiLevelType w:val="hybridMultilevel"/>
    <w:tmpl w:val="D102C920"/>
    <w:lvl w:ilvl="0" w:tplc="AE1E43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35526"/>
    <w:multiLevelType w:val="multilevel"/>
    <w:tmpl w:val="BC8C00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D933F1"/>
    <w:multiLevelType w:val="hybridMultilevel"/>
    <w:tmpl w:val="BF3E6780"/>
    <w:lvl w:ilvl="0" w:tplc="AE1E43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E4C4D"/>
    <w:multiLevelType w:val="hybridMultilevel"/>
    <w:tmpl w:val="4062697E"/>
    <w:lvl w:ilvl="0" w:tplc="AE1E43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874A9"/>
    <w:multiLevelType w:val="hybridMultilevel"/>
    <w:tmpl w:val="80047F06"/>
    <w:lvl w:ilvl="0" w:tplc="AE1E43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F26D3"/>
    <w:multiLevelType w:val="hybridMultilevel"/>
    <w:tmpl w:val="3F0E4BAC"/>
    <w:lvl w:ilvl="0" w:tplc="AE1E43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41750"/>
    <w:multiLevelType w:val="multilevel"/>
    <w:tmpl w:val="3FF2869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FB5654"/>
    <w:multiLevelType w:val="multilevel"/>
    <w:tmpl w:val="445E44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7700AF"/>
    <w:multiLevelType w:val="hybridMultilevel"/>
    <w:tmpl w:val="D9120A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63D0A"/>
    <w:multiLevelType w:val="hybridMultilevel"/>
    <w:tmpl w:val="C0564332"/>
    <w:lvl w:ilvl="0" w:tplc="AE1E43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04603D"/>
    <w:multiLevelType w:val="hybridMultilevel"/>
    <w:tmpl w:val="8FE4C624"/>
    <w:lvl w:ilvl="0" w:tplc="AE1E43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11365D"/>
    <w:multiLevelType w:val="multilevel"/>
    <w:tmpl w:val="B1F20A2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35451E"/>
    <w:multiLevelType w:val="hybridMultilevel"/>
    <w:tmpl w:val="AC606D86"/>
    <w:lvl w:ilvl="0" w:tplc="AE1E43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FF2EEE"/>
    <w:multiLevelType w:val="multilevel"/>
    <w:tmpl w:val="40F8FD5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2"/>
  </w:num>
  <w:num w:numId="5">
    <w:abstractNumId w:val="10"/>
  </w:num>
  <w:num w:numId="6">
    <w:abstractNumId w:val="0"/>
  </w:num>
  <w:num w:numId="7">
    <w:abstractNumId w:val="9"/>
  </w:num>
  <w:num w:numId="8">
    <w:abstractNumId w:val="4"/>
  </w:num>
  <w:num w:numId="9">
    <w:abstractNumId w:val="2"/>
  </w:num>
  <w:num w:numId="10">
    <w:abstractNumId w:val="11"/>
  </w:num>
  <w:num w:numId="11">
    <w:abstractNumId w:val="5"/>
  </w:num>
  <w:num w:numId="12">
    <w:abstractNumId w:val="8"/>
  </w:num>
  <w:num w:numId="13">
    <w:abstractNumId w:val="13"/>
  </w:num>
  <w:num w:numId="1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proofState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16"/>
    <w:rsid w:val="0001165D"/>
    <w:rsid w:val="000132D3"/>
    <w:rsid w:val="00013689"/>
    <w:rsid w:val="00013AD3"/>
    <w:rsid w:val="00020036"/>
    <w:rsid w:val="00074D96"/>
    <w:rsid w:val="00077500"/>
    <w:rsid w:val="00081094"/>
    <w:rsid w:val="000843DE"/>
    <w:rsid w:val="000A14FE"/>
    <w:rsid w:val="000B1326"/>
    <w:rsid w:val="000B513D"/>
    <w:rsid w:val="000C088E"/>
    <w:rsid w:val="000C3E5E"/>
    <w:rsid w:val="000E71ED"/>
    <w:rsid w:val="000F3862"/>
    <w:rsid w:val="00104A88"/>
    <w:rsid w:val="00105989"/>
    <w:rsid w:val="001113AF"/>
    <w:rsid w:val="0011175F"/>
    <w:rsid w:val="00123A9B"/>
    <w:rsid w:val="00134B07"/>
    <w:rsid w:val="001524D7"/>
    <w:rsid w:val="00155DC0"/>
    <w:rsid w:val="00165426"/>
    <w:rsid w:val="001669C5"/>
    <w:rsid w:val="00171716"/>
    <w:rsid w:val="00191AEC"/>
    <w:rsid w:val="001A7367"/>
    <w:rsid w:val="001A79A4"/>
    <w:rsid w:val="001A7AEA"/>
    <w:rsid w:val="001B495B"/>
    <w:rsid w:val="001B5018"/>
    <w:rsid w:val="001B7D77"/>
    <w:rsid w:val="001C129A"/>
    <w:rsid w:val="001C4CDB"/>
    <w:rsid w:val="001D17AA"/>
    <w:rsid w:val="001F2CBA"/>
    <w:rsid w:val="001F41C6"/>
    <w:rsid w:val="00204EA7"/>
    <w:rsid w:val="002061CE"/>
    <w:rsid w:val="00212671"/>
    <w:rsid w:val="0023602F"/>
    <w:rsid w:val="0025111D"/>
    <w:rsid w:val="00253596"/>
    <w:rsid w:val="00265A4C"/>
    <w:rsid w:val="0027395D"/>
    <w:rsid w:val="002750E9"/>
    <w:rsid w:val="002868F9"/>
    <w:rsid w:val="002929A4"/>
    <w:rsid w:val="002A63FD"/>
    <w:rsid w:val="002B1592"/>
    <w:rsid w:val="002C4ACC"/>
    <w:rsid w:val="002D4E67"/>
    <w:rsid w:val="002E140A"/>
    <w:rsid w:val="002E5301"/>
    <w:rsid w:val="00305251"/>
    <w:rsid w:val="003142BE"/>
    <w:rsid w:val="00320EA4"/>
    <w:rsid w:val="003235BC"/>
    <w:rsid w:val="0034233E"/>
    <w:rsid w:val="00355BAA"/>
    <w:rsid w:val="003578F7"/>
    <w:rsid w:val="00366B96"/>
    <w:rsid w:val="00384C24"/>
    <w:rsid w:val="00395B71"/>
    <w:rsid w:val="0039648D"/>
    <w:rsid w:val="003A2F8D"/>
    <w:rsid w:val="003C3880"/>
    <w:rsid w:val="003C3BC2"/>
    <w:rsid w:val="003C4092"/>
    <w:rsid w:val="003D09DC"/>
    <w:rsid w:val="003D23E9"/>
    <w:rsid w:val="003D5B09"/>
    <w:rsid w:val="003E0FF2"/>
    <w:rsid w:val="003E202F"/>
    <w:rsid w:val="003E4921"/>
    <w:rsid w:val="003E6AD2"/>
    <w:rsid w:val="003F03B7"/>
    <w:rsid w:val="003F48AE"/>
    <w:rsid w:val="003F75CC"/>
    <w:rsid w:val="0040524B"/>
    <w:rsid w:val="004072DC"/>
    <w:rsid w:val="00411E12"/>
    <w:rsid w:val="00421BB4"/>
    <w:rsid w:val="00433EDC"/>
    <w:rsid w:val="00443253"/>
    <w:rsid w:val="00447651"/>
    <w:rsid w:val="0044794D"/>
    <w:rsid w:val="00455180"/>
    <w:rsid w:val="004600CD"/>
    <w:rsid w:val="00461948"/>
    <w:rsid w:val="00471D8C"/>
    <w:rsid w:val="004748FA"/>
    <w:rsid w:val="00474FB9"/>
    <w:rsid w:val="004807B7"/>
    <w:rsid w:val="00487FD5"/>
    <w:rsid w:val="004919DB"/>
    <w:rsid w:val="004A0274"/>
    <w:rsid w:val="004B10FA"/>
    <w:rsid w:val="004B487A"/>
    <w:rsid w:val="004F25E4"/>
    <w:rsid w:val="004F3E05"/>
    <w:rsid w:val="00500873"/>
    <w:rsid w:val="00507498"/>
    <w:rsid w:val="005079AE"/>
    <w:rsid w:val="00511701"/>
    <w:rsid w:val="0051279F"/>
    <w:rsid w:val="00516100"/>
    <w:rsid w:val="00522870"/>
    <w:rsid w:val="00523182"/>
    <w:rsid w:val="005246C2"/>
    <w:rsid w:val="0052719C"/>
    <w:rsid w:val="00535002"/>
    <w:rsid w:val="00552D71"/>
    <w:rsid w:val="005578CE"/>
    <w:rsid w:val="00561EFD"/>
    <w:rsid w:val="00570C29"/>
    <w:rsid w:val="00574B14"/>
    <w:rsid w:val="00582CA7"/>
    <w:rsid w:val="00585743"/>
    <w:rsid w:val="00592F88"/>
    <w:rsid w:val="00593E88"/>
    <w:rsid w:val="005B1376"/>
    <w:rsid w:val="005B18A7"/>
    <w:rsid w:val="005B5A4E"/>
    <w:rsid w:val="005C3F94"/>
    <w:rsid w:val="005D1B14"/>
    <w:rsid w:val="005E3426"/>
    <w:rsid w:val="006027C3"/>
    <w:rsid w:val="00604E2A"/>
    <w:rsid w:val="0060775C"/>
    <w:rsid w:val="0061027B"/>
    <w:rsid w:val="006221A2"/>
    <w:rsid w:val="006333B8"/>
    <w:rsid w:val="00636E30"/>
    <w:rsid w:val="006451A6"/>
    <w:rsid w:val="00647D3A"/>
    <w:rsid w:val="006520AE"/>
    <w:rsid w:val="0065487D"/>
    <w:rsid w:val="006609E9"/>
    <w:rsid w:val="00676202"/>
    <w:rsid w:val="006809E4"/>
    <w:rsid w:val="006A323A"/>
    <w:rsid w:val="006B0D91"/>
    <w:rsid w:val="006B14D1"/>
    <w:rsid w:val="006B2888"/>
    <w:rsid w:val="006B63D1"/>
    <w:rsid w:val="006C06B8"/>
    <w:rsid w:val="006C6482"/>
    <w:rsid w:val="006D1E28"/>
    <w:rsid w:val="006E64D4"/>
    <w:rsid w:val="006F28BC"/>
    <w:rsid w:val="006F534D"/>
    <w:rsid w:val="0071542B"/>
    <w:rsid w:val="007173F0"/>
    <w:rsid w:val="00724725"/>
    <w:rsid w:val="00741120"/>
    <w:rsid w:val="00741A1A"/>
    <w:rsid w:val="00743146"/>
    <w:rsid w:val="007500B3"/>
    <w:rsid w:val="007543BB"/>
    <w:rsid w:val="007605ED"/>
    <w:rsid w:val="00763758"/>
    <w:rsid w:val="007709BF"/>
    <w:rsid w:val="00777459"/>
    <w:rsid w:val="007A0311"/>
    <w:rsid w:val="007A3470"/>
    <w:rsid w:val="007C2BAB"/>
    <w:rsid w:val="007C368C"/>
    <w:rsid w:val="007C6C97"/>
    <w:rsid w:val="007C744B"/>
    <w:rsid w:val="007D59C8"/>
    <w:rsid w:val="007F00A0"/>
    <w:rsid w:val="00800BC2"/>
    <w:rsid w:val="00817056"/>
    <w:rsid w:val="008238AE"/>
    <w:rsid w:val="00832297"/>
    <w:rsid w:val="00844B33"/>
    <w:rsid w:val="00857D79"/>
    <w:rsid w:val="00866380"/>
    <w:rsid w:val="00871CC2"/>
    <w:rsid w:val="00872993"/>
    <w:rsid w:val="008767C2"/>
    <w:rsid w:val="00877DFD"/>
    <w:rsid w:val="00886F9E"/>
    <w:rsid w:val="008919D7"/>
    <w:rsid w:val="00893916"/>
    <w:rsid w:val="00896427"/>
    <w:rsid w:val="00896C47"/>
    <w:rsid w:val="008A3574"/>
    <w:rsid w:val="008A6F28"/>
    <w:rsid w:val="008B5AA2"/>
    <w:rsid w:val="008D2FA7"/>
    <w:rsid w:val="008E5291"/>
    <w:rsid w:val="008E6EBD"/>
    <w:rsid w:val="008E737E"/>
    <w:rsid w:val="008E797B"/>
    <w:rsid w:val="008F2FA6"/>
    <w:rsid w:val="00900AE8"/>
    <w:rsid w:val="00902DE0"/>
    <w:rsid w:val="00914B09"/>
    <w:rsid w:val="0091667E"/>
    <w:rsid w:val="00917728"/>
    <w:rsid w:val="00922C5F"/>
    <w:rsid w:val="00947B3F"/>
    <w:rsid w:val="0096691E"/>
    <w:rsid w:val="00971A2C"/>
    <w:rsid w:val="0097386F"/>
    <w:rsid w:val="00976944"/>
    <w:rsid w:val="00981297"/>
    <w:rsid w:val="009843E5"/>
    <w:rsid w:val="00986F48"/>
    <w:rsid w:val="00987E35"/>
    <w:rsid w:val="009947C0"/>
    <w:rsid w:val="009A654F"/>
    <w:rsid w:val="009A7E18"/>
    <w:rsid w:val="009B756A"/>
    <w:rsid w:val="009C05C0"/>
    <w:rsid w:val="009C3B17"/>
    <w:rsid w:val="009E0DE4"/>
    <w:rsid w:val="009E4121"/>
    <w:rsid w:val="009E443E"/>
    <w:rsid w:val="009F1E30"/>
    <w:rsid w:val="009F7612"/>
    <w:rsid w:val="009F7997"/>
    <w:rsid w:val="00A00CD0"/>
    <w:rsid w:val="00A0499A"/>
    <w:rsid w:val="00A04CCC"/>
    <w:rsid w:val="00A06CB9"/>
    <w:rsid w:val="00A16C79"/>
    <w:rsid w:val="00A21878"/>
    <w:rsid w:val="00A33F49"/>
    <w:rsid w:val="00A36A36"/>
    <w:rsid w:val="00A37B77"/>
    <w:rsid w:val="00A37E2B"/>
    <w:rsid w:val="00A42C41"/>
    <w:rsid w:val="00A43835"/>
    <w:rsid w:val="00A44921"/>
    <w:rsid w:val="00A522BC"/>
    <w:rsid w:val="00A539F4"/>
    <w:rsid w:val="00A60357"/>
    <w:rsid w:val="00A62508"/>
    <w:rsid w:val="00A6558F"/>
    <w:rsid w:val="00A80BBF"/>
    <w:rsid w:val="00A82DC8"/>
    <w:rsid w:val="00A913F4"/>
    <w:rsid w:val="00A93D54"/>
    <w:rsid w:val="00A965A5"/>
    <w:rsid w:val="00A96D8E"/>
    <w:rsid w:val="00AA396C"/>
    <w:rsid w:val="00AC2BA6"/>
    <w:rsid w:val="00AE37DB"/>
    <w:rsid w:val="00AE7A3A"/>
    <w:rsid w:val="00AE7D52"/>
    <w:rsid w:val="00AF0511"/>
    <w:rsid w:val="00AF35E7"/>
    <w:rsid w:val="00AF50C5"/>
    <w:rsid w:val="00AF7345"/>
    <w:rsid w:val="00B01E61"/>
    <w:rsid w:val="00B07B6C"/>
    <w:rsid w:val="00B37502"/>
    <w:rsid w:val="00B411C9"/>
    <w:rsid w:val="00B423F5"/>
    <w:rsid w:val="00B520CB"/>
    <w:rsid w:val="00B56B8B"/>
    <w:rsid w:val="00B70309"/>
    <w:rsid w:val="00B812B0"/>
    <w:rsid w:val="00B90990"/>
    <w:rsid w:val="00B94038"/>
    <w:rsid w:val="00B9516A"/>
    <w:rsid w:val="00BA0B69"/>
    <w:rsid w:val="00BA34BE"/>
    <w:rsid w:val="00BB1DF6"/>
    <w:rsid w:val="00BB6F16"/>
    <w:rsid w:val="00BC414D"/>
    <w:rsid w:val="00BD0B1A"/>
    <w:rsid w:val="00BD6050"/>
    <w:rsid w:val="00BE6090"/>
    <w:rsid w:val="00BF1CB6"/>
    <w:rsid w:val="00BF6A4F"/>
    <w:rsid w:val="00C1075C"/>
    <w:rsid w:val="00C23753"/>
    <w:rsid w:val="00C31EBF"/>
    <w:rsid w:val="00C42444"/>
    <w:rsid w:val="00C450AA"/>
    <w:rsid w:val="00C450BE"/>
    <w:rsid w:val="00C538CB"/>
    <w:rsid w:val="00C61478"/>
    <w:rsid w:val="00C6266F"/>
    <w:rsid w:val="00C65AA2"/>
    <w:rsid w:val="00CA33CC"/>
    <w:rsid w:val="00CA64AF"/>
    <w:rsid w:val="00CA6977"/>
    <w:rsid w:val="00CC496D"/>
    <w:rsid w:val="00CD4D46"/>
    <w:rsid w:val="00CD59AE"/>
    <w:rsid w:val="00CD66D6"/>
    <w:rsid w:val="00CD7392"/>
    <w:rsid w:val="00CE5DD1"/>
    <w:rsid w:val="00CF289D"/>
    <w:rsid w:val="00CF750A"/>
    <w:rsid w:val="00D06032"/>
    <w:rsid w:val="00D144AD"/>
    <w:rsid w:val="00D17625"/>
    <w:rsid w:val="00D40225"/>
    <w:rsid w:val="00D42AA8"/>
    <w:rsid w:val="00D465B0"/>
    <w:rsid w:val="00D52FD7"/>
    <w:rsid w:val="00D556EC"/>
    <w:rsid w:val="00D56FA9"/>
    <w:rsid w:val="00D644C2"/>
    <w:rsid w:val="00D66B49"/>
    <w:rsid w:val="00D67F4B"/>
    <w:rsid w:val="00D7139F"/>
    <w:rsid w:val="00D71C01"/>
    <w:rsid w:val="00D77245"/>
    <w:rsid w:val="00D934E2"/>
    <w:rsid w:val="00DB524E"/>
    <w:rsid w:val="00DC55EB"/>
    <w:rsid w:val="00DD2D73"/>
    <w:rsid w:val="00DE00F6"/>
    <w:rsid w:val="00DE4289"/>
    <w:rsid w:val="00DE5ACA"/>
    <w:rsid w:val="00DE60D6"/>
    <w:rsid w:val="00DF5541"/>
    <w:rsid w:val="00E13AF5"/>
    <w:rsid w:val="00E270F3"/>
    <w:rsid w:val="00E368B6"/>
    <w:rsid w:val="00E442E8"/>
    <w:rsid w:val="00E505B6"/>
    <w:rsid w:val="00E743D6"/>
    <w:rsid w:val="00E76AF6"/>
    <w:rsid w:val="00E97130"/>
    <w:rsid w:val="00EA66C1"/>
    <w:rsid w:val="00EB1793"/>
    <w:rsid w:val="00EB1B01"/>
    <w:rsid w:val="00EB40D1"/>
    <w:rsid w:val="00ED2FA0"/>
    <w:rsid w:val="00F0351D"/>
    <w:rsid w:val="00F060FC"/>
    <w:rsid w:val="00F13619"/>
    <w:rsid w:val="00F14CF6"/>
    <w:rsid w:val="00F2663E"/>
    <w:rsid w:val="00F27C0E"/>
    <w:rsid w:val="00F33954"/>
    <w:rsid w:val="00F4263E"/>
    <w:rsid w:val="00F426C6"/>
    <w:rsid w:val="00F4373D"/>
    <w:rsid w:val="00F4655B"/>
    <w:rsid w:val="00F54C03"/>
    <w:rsid w:val="00F62F25"/>
    <w:rsid w:val="00F7699B"/>
    <w:rsid w:val="00F90D99"/>
    <w:rsid w:val="00F96D3C"/>
    <w:rsid w:val="00FA49B8"/>
    <w:rsid w:val="00FC50A4"/>
    <w:rsid w:val="00FC6CEA"/>
    <w:rsid w:val="00FD1E15"/>
    <w:rsid w:val="00FD4D09"/>
    <w:rsid w:val="00FD5E3E"/>
    <w:rsid w:val="00FD7B7A"/>
    <w:rsid w:val="00FE71AB"/>
    <w:rsid w:val="00FF63C4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075F5A"/>
  <w15:chartTrackingRefBased/>
  <w15:docId w15:val="{6F04BFA1-EA6C-453B-B993-0B9F16059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67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717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717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E20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7171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7171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71716"/>
    <w:rPr>
      <w:b/>
      <w:bCs/>
    </w:rPr>
  </w:style>
  <w:style w:type="paragraph" w:styleId="NormalWeb">
    <w:name w:val="Normal (Web)"/>
    <w:basedOn w:val="Normal"/>
    <w:uiPriority w:val="99"/>
    <w:unhideWhenUsed/>
    <w:rsid w:val="00171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71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1716"/>
  </w:style>
  <w:style w:type="paragraph" w:styleId="Footer">
    <w:name w:val="footer"/>
    <w:basedOn w:val="Normal"/>
    <w:link w:val="FooterChar"/>
    <w:uiPriority w:val="99"/>
    <w:unhideWhenUsed/>
    <w:rsid w:val="00171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716"/>
  </w:style>
  <w:style w:type="character" w:customStyle="1" w:styleId="bold1">
    <w:name w:val="bold1"/>
    <w:basedOn w:val="DefaultParagraphFont"/>
    <w:rsid w:val="00171716"/>
  </w:style>
  <w:style w:type="character" w:styleId="Emphasis">
    <w:name w:val="Emphasis"/>
    <w:basedOn w:val="DefaultParagraphFont"/>
    <w:uiPriority w:val="20"/>
    <w:qFormat/>
    <w:rsid w:val="009E0DE4"/>
    <w:rPr>
      <w:i/>
      <w:iCs/>
    </w:rPr>
  </w:style>
  <w:style w:type="table" w:styleId="TableGrid">
    <w:name w:val="Table Grid"/>
    <w:basedOn w:val="TableNormal"/>
    <w:uiPriority w:val="39"/>
    <w:rsid w:val="00F06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0B69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3E202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yperlink">
    <w:name w:val="Hyperlink"/>
    <w:basedOn w:val="DefaultParagraphFont"/>
    <w:uiPriority w:val="99"/>
    <w:unhideWhenUsed/>
    <w:rsid w:val="00FA49B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1CC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767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767C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67C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basic-paragraph">
    <w:name w:val="basic-paragraph"/>
    <w:basedOn w:val="Normal"/>
    <w:rsid w:val="00A96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italik">
    <w:name w:val="italik"/>
    <w:basedOn w:val="DefaultParagraphFont"/>
    <w:rsid w:val="00A96D8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0FF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3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7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818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71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34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2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6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4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6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9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8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0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6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06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3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4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3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7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8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ekonsultacije.gov.rs/topicOfDiscussionPage/522/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te.gov.rs/vest/sr/10539/obavestenje-o-otpocinjanju-izrade-nacrta-zakona-o-razmeni-podataka-dokumenata-i-obavestenja-u-slucaju-nastupanja-privremene-sprecenosti-za-rad-koriscenjem-softverskog-resenja-e-bolovanje-poslodavac.php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36</Pages>
  <Words>13240</Words>
  <Characters>75472</Characters>
  <Application>Microsoft Office Word</Application>
  <DocSecurity>0</DocSecurity>
  <Lines>628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Stefanovic</dc:creator>
  <cp:keywords/>
  <dc:description/>
  <cp:lastModifiedBy>Daktilobiro05</cp:lastModifiedBy>
  <cp:revision>29</cp:revision>
  <cp:lastPrinted>2025-11-06T15:19:00Z</cp:lastPrinted>
  <dcterms:created xsi:type="dcterms:W3CDTF">2025-10-13T09:16:00Z</dcterms:created>
  <dcterms:modified xsi:type="dcterms:W3CDTF">2025-11-06T15:19:00Z</dcterms:modified>
</cp:coreProperties>
</file>